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4ABC2" w14:textId="77777777" w:rsidR="0054690B" w:rsidRPr="00AE0381" w:rsidRDefault="0054690B" w:rsidP="004929CA">
      <w:pPr>
        <w:rPr>
          <w:b/>
          <w:color w:val="000000" w:themeColor="text1"/>
          <w:lang w:val="en-GB"/>
        </w:rPr>
      </w:pPr>
    </w:p>
    <w:tbl>
      <w:tblPr>
        <w:tblStyle w:val="ListTable3"/>
        <w:tblpPr w:leftFromText="180" w:rightFromText="180" w:vertAnchor="page" w:tblpY="2085"/>
        <w:tblW w:w="9634" w:type="dxa"/>
        <w:tblLook w:val="04A0" w:firstRow="1" w:lastRow="0" w:firstColumn="1" w:lastColumn="0" w:noHBand="0" w:noVBand="1"/>
      </w:tblPr>
      <w:tblGrid>
        <w:gridCol w:w="1696"/>
        <w:gridCol w:w="426"/>
        <w:gridCol w:w="7512"/>
      </w:tblGrid>
      <w:tr w:rsidR="00C52CBC" w:rsidRPr="00303D97" w14:paraId="257A930F" w14:textId="77777777" w:rsidTr="00CD670E">
        <w:trPr>
          <w:cnfStyle w:val="100000000000" w:firstRow="1" w:lastRow="0" w:firstColumn="0" w:lastColumn="0" w:oddVBand="0" w:evenVBand="0" w:oddHBand="0" w:evenHBand="0" w:firstRowFirstColumn="0" w:firstRowLastColumn="0" w:lastRowFirstColumn="0" w:lastRowLastColumn="0"/>
          <w:trHeight w:val="416"/>
        </w:trPr>
        <w:tc>
          <w:tcPr>
            <w:cnfStyle w:val="001000000100" w:firstRow="0" w:lastRow="0" w:firstColumn="1" w:lastColumn="0" w:oddVBand="0" w:evenVBand="0" w:oddHBand="0" w:evenHBand="0" w:firstRowFirstColumn="1" w:firstRowLastColumn="0" w:lastRowFirstColumn="0" w:lastRowLastColumn="0"/>
            <w:tcW w:w="2122" w:type="dxa"/>
            <w:gridSpan w:val="2"/>
            <w:shd w:val="clear" w:color="auto" w:fill="C9C9C9" w:themeFill="accent3" w:themeFillTint="99"/>
          </w:tcPr>
          <w:p w14:paraId="7501D898" w14:textId="77777777" w:rsidR="00EF6B20" w:rsidRPr="00B35C7C" w:rsidRDefault="00EF6B20" w:rsidP="00EF6B20">
            <w:pPr>
              <w:pStyle w:val="Title"/>
              <w:rPr>
                <w:rFonts w:cstheme="majorHAnsi"/>
                <w:b w:val="0"/>
                <w:sz w:val="48"/>
                <w:szCs w:val="48"/>
                <w:lang w:val="en-US"/>
              </w:rPr>
            </w:pPr>
            <w:r w:rsidRPr="00B35C7C">
              <w:rPr>
                <w:rFonts w:cstheme="majorHAnsi"/>
                <w:b w:val="0"/>
                <w:sz w:val="48"/>
                <w:szCs w:val="48"/>
                <w:lang w:val="en-US"/>
              </w:rPr>
              <w:t>Note</w:t>
            </w:r>
          </w:p>
        </w:tc>
        <w:tc>
          <w:tcPr>
            <w:tcW w:w="7512" w:type="dxa"/>
            <w:shd w:val="clear" w:color="auto" w:fill="C9C9C9" w:themeFill="accent3" w:themeFillTint="99"/>
          </w:tcPr>
          <w:p w14:paraId="62DF2425" w14:textId="77777777" w:rsidR="00EF6B20" w:rsidRPr="00B45B32" w:rsidRDefault="00EF6B20" w:rsidP="00330305">
            <w:pPr>
              <w:cnfStyle w:val="100000000000" w:firstRow="1" w:lastRow="0" w:firstColumn="0" w:lastColumn="0" w:oddVBand="0" w:evenVBand="0" w:oddHBand="0" w:evenHBand="0" w:firstRowFirstColumn="0" w:firstRowLastColumn="0" w:lastRowFirstColumn="0" w:lastRowLastColumn="0"/>
              <w:rPr>
                <w:rFonts w:ascii="Segoe UI Light" w:hAnsi="Segoe UI Light" w:cs="Segoe UI Light"/>
              </w:rPr>
            </w:pPr>
          </w:p>
        </w:tc>
      </w:tr>
      <w:tr w:rsidR="00330305" w:rsidRPr="0059001C" w14:paraId="753EB169" w14:textId="77777777" w:rsidTr="00330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A686456" w14:textId="77777777" w:rsidR="00EF6B20" w:rsidRPr="00B35C7C" w:rsidRDefault="00EF6B20" w:rsidP="00330305">
            <w:pPr>
              <w:rPr>
                <w:rFonts w:asciiTheme="majorHAnsi" w:hAnsiTheme="majorHAnsi" w:cstheme="majorHAnsi"/>
                <w:b w:val="0"/>
                <w:color w:val="000000" w:themeColor="text1"/>
                <w:sz w:val="22"/>
                <w:szCs w:val="22"/>
              </w:rPr>
            </w:pPr>
            <w:r w:rsidRPr="00B35C7C">
              <w:rPr>
                <w:rFonts w:asciiTheme="majorHAnsi" w:hAnsiTheme="majorHAnsi" w:cstheme="majorHAnsi"/>
                <w:color w:val="000000" w:themeColor="text1"/>
                <w:sz w:val="22"/>
                <w:szCs w:val="22"/>
              </w:rPr>
              <w:t>Subject</w:t>
            </w:r>
          </w:p>
        </w:tc>
        <w:tc>
          <w:tcPr>
            <w:tcW w:w="426" w:type="dxa"/>
            <w:vAlign w:val="center"/>
          </w:tcPr>
          <w:p w14:paraId="41DE38CB" w14:textId="77777777" w:rsidR="00EF6B20" w:rsidRPr="00B35C7C" w:rsidRDefault="00EF6B20" w:rsidP="00330305">
            <w:pPr>
              <w:cnfStyle w:val="000000100000" w:firstRow="0" w:lastRow="0" w:firstColumn="0" w:lastColumn="0" w:oddVBand="0" w:evenVBand="0" w:oddHBand="1" w:evenHBand="0" w:firstRowFirstColumn="0" w:firstRowLastColumn="0" w:lastRowFirstColumn="0" w:lastRowLastColumn="0"/>
              <w:rPr>
                <w:sz w:val="22"/>
                <w:szCs w:val="22"/>
              </w:rPr>
            </w:pPr>
            <w:r w:rsidRPr="00B35C7C">
              <w:rPr>
                <w:sz w:val="22"/>
                <w:szCs w:val="22"/>
              </w:rPr>
              <w:t>:</w:t>
            </w:r>
          </w:p>
        </w:tc>
        <w:tc>
          <w:tcPr>
            <w:tcW w:w="7512" w:type="dxa"/>
            <w:vAlign w:val="center"/>
          </w:tcPr>
          <w:p w14:paraId="05359FC3" w14:textId="09ADCFD8" w:rsidR="00EF6B20" w:rsidRPr="00B35C7C" w:rsidRDefault="00AE0381" w:rsidP="0033030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B35C7C">
              <w:rPr>
                <w:rFonts w:asciiTheme="majorHAnsi" w:hAnsiTheme="majorHAnsi" w:cstheme="majorHAnsi"/>
                <w:sz w:val="22"/>
                <w:szCs w:val="22"/>
              </w:rPr>
              <w:t xml:space="preserve">Greenhouse Gas </w:t>
            </w:r>
            <w:r>
              <w:rPr>
                <w:rFonts w:asciiTheme="majorHAnsi" w:hAnsiTheme="majorHAnsi" w:cstheme="majorHAnsi"/>
                <w:sz w:val="22"/>
                <w:szCs w:val="22"/>
              </w:rPr>
              <w:t>Inventory</w:t>
            </w:r>
            <w:r w:rsidRPr="00B35C7C">
              <w:rPr>
                <w:rFonts w:asciiTheme="majorHAnsi" w:hAnsiTheme="majorHAnsi" w:cstheme="majorHAnsi"/>
                <w:sz w:val="22"/>
                <w:szCs w:val="22"/>
              </w:rPr>
              <w:t xml:space="preserve"> </w:t>
            </w:r>
            <w:r>
              <w:rPr>
                <w:rFonts w:asciiTheme="majorHAnsi" w:hAnsiTheme="majorHAnsi" w:cstheme="majorHAnsi"/>
                <w:sz w:val="22"/>
                <w:szCs w:val="22"/>
              </w:rPr>
              <w:t>(2023)</w:t>
            </w:r>
          </w:p>
        </w:tc>
      </w:tr>
      <w:tr w:rsidR="00330305" w:rsidRPr="00303D97" w14:paraId="51CF7471" w14:textId="77777777" w:rsidTr="00330305">
        <w:trPr>
          <w:trHeight w:val="288"/>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0129047B" w14:textId="08E4AE9E" w:rsidR="00EF6B20" w:rsidRPr="00B35C7C" w:rsidRDefault="00EF6B20" w:rsidP="00330305">
            <w:pPr>
              <w:rPr>
                <w:rFonts w:asciiTheme="majorHAnsi" w:hAnsiTheme="majorHAnsi" w:cstheme="majorHAnsi"/>
                <w:b w:val="0"/>
                <w:color w:val="000000" w:themeColor="text1"/>
                <w:sz w:val="22"/>
                <w:szCs w:val="22"/>
              </w:rPr>
            </w:pPr>
            <w:r w:rsidRPr="00B35C7C">
              <w:rPr>
                <w:rFonts w:asciiTheme="majorHAnsi" w:hAnsiTheme="majorHAnsi" w:cstheme="majorHAnsi"/>
                <w:color w:val="000000" w:themeColor="text1"/>
                <w:sz w:val="22"/>
                <w:szCs w:val="22"/>
              </w:rPr>
              <w:t>Prepared</w:t>
            </w:r>
            <w:r w:rsidR="003972AA" w:rsidRPr="00B35C7C">
              <w:rPr>
                <w:rFonts w:asciiTheme="majorHAnsi" w:hAnsiTheme="majorHAnsi" w:cstheme="majorHAnsi"/>
                <w:color w:val="000000" w:themeColor="text1"/>
                <w:sz w:val="22"/>
                <w:szCs w:val="22"/>
              </w:rPr>
              <w:t xml:space="preserve"> </w:t>
            </w:r>
            <w:r w:rsidRPr="00B35C7C">
              <w:rPr>
                <w:rFonts w:asciiTheme="majorHAnsi" w:hAnsiTheme="majorHAnsi" w:cstheme="majorHAnsi"/>
                <w:color w:val="000000" w:themeColor="text1"/>
                <w:sz w:val="22"/>
                <w:szCs w:val="22"/>
              </w:rPr>
              <w:t>by</w:t>
            </w:r>
          </w:p>
        </w:tc>
        <w:tc>
          <w:tcPr>
            <w:tcW w:w="426" w:type="dxa"/>
            <w:vAlign w:val="center"/>
          </w:tcPr>
          <w:p w14:paraId="1D9D9590" w14:textId="77777777" w:rsidR="00EF6B20" w:rsidRPr="00B35C7C" w:rsidRDefault="00EF6B20" w:rsidP="00330305">
            <w:pPr>
              <w:cnfStyle w:val="000000000000" w:firstRow="0" w:lastRow="0" w:firstColumn="0" w:lastColumn="0" w:oddVBand="0" w:evenVBand="0" w:oddHBand="0" w:evenHBand="0" w:firstRowFirstColumn="0" w:firstRowLastColumn="0" w:lastRowFirstColumn="0" w:lastRowLastColumn="0"/>
              <w:rPr>
                <w:sz w:val="22"/>
                <w:szCs w:val="22"/>
              </w:rPr>
            </w:pPr>
            <w:r w:rsidRPr="00B35C7C">
              <w:rPr>
                <w:sz w:val="22"/>
                <w:szCs w:val="22"/>
              </w:rPr>
              <w:t>:</w:t>
            </w:r>
          </w:p>
        </w:tc>
        <w:tc>
          <w:tcPr>
            <w:tcW w:w="7512" w:type="dxa"/>
            <w:vAlign w:val="center"/>
          </w:tcPr>
          <w:p w14:paraId="417F759A" w14:textId="146DDC3B" w:rsidR="00EF6B20" w:rsidRPr="00B35C7C" w:rsidRDefault="00643522" w:rsidP="0033030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Camilla Kaasing Trolle (CKT)</w:t>
            </w:r>
          </w:p>
        </w:tc>
      </w:tr>
      <w:tr w:rsidR="00D85493" w:rsidRPr="00303D97" w14:paraId="0175C9EF" w14:textId="77777777" w:rsidTr="00330305">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99EEACF" w14:textId="4A9B4C94" w:rsidR="00D85493" w:rsidRPr="00B35C7C" w:rsidRDefault="00D85493" w:rsidP="00330305">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Date</w:t>
            </w:r>
          </w:p>
        </w:tc>
        <w:tc>
          <w:tcPr>
            <w:tcW w:w="426" w:type="dxa"/>
            <w:vAlign w:val="center"/>
          </w:tcPr>
          <w:p w14:paraId="60A30B4C" w14:textId="42D59571" w:rsidR="00D85493" w:rsidRPr="00B35C7C" w:rsidRDefault="00D85493" w:rsidP="00330305">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t>
            </w:r>
          </w:p>
        </w:tc>
        <w:tc>
          <w:tcPr>
            <w:tcW w:w="7512" w:type="dxa"/>
            <w:vAlign w:val="center"/>
          </w:tcPr>
          <w:p w14:paraId="69F54570" w14:textId="61098925" w:rsidR="00D85493" w:rsidRPr="00B35C7C" w:rsidRDefault="00D85493" w:rsidP="0033030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1</w:t>
            </w:r>
            <w:r w:rsidR="00AE0381">
              <w:rPr>
                <w:rFonts w:asciiTheme="majorHAnsi" w:hAnsiTheme="majorHAnsi" w:cstheme="majorHAnsi"/>
                <w:sz w:val="22"/>
                <w:szCs w:val="22"/>
              </w:rPr>
              <w:t>7</w:t>
            </w:r>
            <w:r>
              <w:rPr>
                <w:rFonts w:asciiTheme="majorHAnsi" w:hAnsiTheme="majorHAnsi" w:cstheme="majorHAnsi"/>
                <w:sz w:val="22"/>
                <w:szCs w:val="22"/>
              </w:rPr>
              <w:t>-04-</w:t>
            </w:r>
            <w:r w:rsidR="0029534B">
              <w:rPr>
                <w:rFonts w:asciiTheme="majorHAnsi" w:hAnsiTheme="majorHAnsi" w:cstheme="majorHAnsi"/>
                <w:sz w:val="22"/>
                <w:szCs w:val="22"/>
              </w:rPr>
              <w:t>202</w:t>
            </w:r>
            <w:r w:rsidR="00643522">
              <w:rPr>
                <w:rFonts w:asciiTheme="majorHAnsi" w:hAnsiTheme="majorHAnsi" w:cstheme="majorHAnsi"/>
                <w:sz w:val="22"/>
                <w:szCs w:val="22"/>
              </w:rPr>
              <w:t>4</w:t>
            </w:r>
          </w:p>
        </w:tc>
      </w:tr>
    </w:tbl>
    <w:p w14:paraId="29E4BF2C" w14:textId="77777777" w:rsidR="00AE0381" w:rsidRDefault="00AE0381" w:rsidP="00AE0381">
      <w:pPr>
        <w:pStyle w:val="Title"/>
        <w:jc w:val="center"/>
        <w:rPr>
          <w:sz w:val="44"/>
          <w:szCs w:val="44"/>
          <w:lang w:val="en-GB"/>
        </w:rPr>
      </w:pPr>
    </w:p>
    <w:p w14:paraId="2D92F533" w14:textId="77777777" w:rsidR="00AE0381" w:rsidRPr="00AE0381" w:rsidRDefault="00AE0381" w:rsidP="00AE0381">
      <w:pPr>
        <w:rPr>
          <w:lang w:val="en-GB"/>
        </w:rPr>
      </w:pPr>
    </w:p>
    <w:p w14:paraId="56E4C3FC" w14:textId="0DB1ED8B" w:rsidR="00AE0381" w:rsidRDefault="00AE0381" w:rsidP="00AE0381">
      <w:pPr>
        <w:pStyle w:val="Title"/>
        <w:jc w:val="center"/>
        <w:rPr>
          <w:sz w:val="44"/>
          <w:szCs w:val="44"/>
          <w:lang w:val="en-GB"/>
        </w:rPr>
      </w:pPr>
      <w:r w:rsidRPr="00AE0381">
        <w:rPr>
          <w:sz w:val="44"/>
          <w:szCs w:val="44"/>
          <w:lang w:val="en-GB"/>
        </w:rPr>
        <w:t xml:space="preserve">2023 Greenhouse Gas inventory for </w:t>
      </w:r>
      <w:proofErr w:type="spellStart"/>
      <w:r w:rsidRPr="00AE0381">
        <w:rPr>
          <w:sz w:val="44"/>
          <w:szCs w:val="44"/>
          <w:lang w:val="en-GB"/>
        </w:rPr>
        <w:t>ProCon</w:t>
      </w:r>
      <w:proofErr w:type="spellEnd"/>
      <w:r w:rsidRPr="00AE0381">
        <w:rPr>
          <w:sz w:val="44"/>
          <w:szCs w:val="44"/>
          <w:lang w:val="en-GB"/>
        </w:rPr>
        <w:t xml:space="preserve"> Group</w:t>
      </w:r>
    </w:p>
    <w:sdt>
      <w:sdtPr>
        <w:id w:val="607786040"/>
        <w:docPartObj>
          <w:docPartGallery w:val="Table of Contents"/>
          <w:docPartUnique/>
        </w:docPartObj>
      </w:sdtPr>
      <w:sdtEndPr>
        <w:rPr>
          <w:rFonts w:asciiTheme="minorHAnsi" w:eastAsiaTheme="minorEastAsia" w:hAnsiTheme="minorHAnsi" w:cstheme="minorBidi"/>
          <w:b/>
          <w:bCs/>
          <w:noProof/>
          <w:color w:val="auto"/>
          <w:sz w:val="24"/>
          <w:szCs w:val="24"/>
        </w:rPr>
      </w:sdtEndPr>
      <w:sdtContent>
        <w:p w14:paraId="40E788CA" w14:textId="15652772" w:rsidR="0057176F" w:rsidRPr="0057176F" w:rsidRDefault="0057176F">
          <w:pPr>
            <w:pStyle w:val="TOCHeading"/>
            <w:rPr>
              <w:color w:val="auto"/>
            </w:rPr>
          </w:pPr>
          <w:r w:rsidRPr="0057176F">
            <w:rPr>
              <w:color w:val="auto"/>
            </w:rPr>
            <w:t>Contents</w:t>
          </w:r>
        </w:p>
        <w:p w14:paraId="7A49317E" w14:textId="10C94354" w:rsidR="0057176F" w:rsidRDefault="0057176F">
          <w:pPr>
            <w:pStyle w:val="TOC2"/>
            <w:tabs>
              <w:tab w:val="right" w:leader="dot" w:pos="9016"/>
            </w:tabs>
            <w:rPr>
              <w:noProof/>
              <w:kern w:val="2"/>
              <w:lang w:val="en-DK" w:eastAsia="en-DK"/>
              <w14:ligatures w14:val="standardContextual"/>
            </w:rPr>
          </w:pPr>
          <w:r>
            <w:fldChar w:fldCharType="begin"/>
          </w:r>
          <w:r>
            <w:instrText xml:space="preserve"> TOC \o "1-3" \h \z \u </w:instrText>
          </w:r>
          <w:r>
            <w:fldChar w:fldCharType="separate"/>
          </w:r>
          <w:hyperlink w:anchor="_Toc164244124" w:history="1">
            <w:r w:rsidRPr="00D72155">
              <w:rPr>
                <w:rStyle w:val="Hyperlink"/>
                <w:noProof/>
              </w:rPr>
              <w:t>Introduction</w:t>
            </w:r>
            <w:r>
              <w:rPr>
                <w:noProof/>
                <w:webHidden/>
              </w:rPr>
              <w:tab/>
            </w:r>
            <w:r>
              <w:rPr>
                <w:noProof/>
                <w:webHidden/>
              </w:rPr>
              <w:fldChar w:fldCharType="begin"/>
            </w:r>
            <w:r>
              <w:rPr>
                <w:noProof/>
                <w:webHidden/>
              </w:rPr>
              <w:instrText xml:space="preserve"> PAGEREF _Toc164244124 \h </w:instrText>
            </w:r>
            <w:r>
              <w:rPr>
                <w:noProof/>
                <w:webHidden/>
              </w:rPr>
            </w:r>
            <w:r>
              <w:rPr>
                <w:noProof/>
                <w:webHidden/>
              </w:rPr>
              <w:fldChar w:fldCharType="separate"/>
            </w:r>
            <w:r>
              <w:rPr>
                <w:noProof/>
                <w:webHidden/>
              </w:rPr>
              <w:t>1</w:t>
            </w:r>
            <w:r>
              <w:rPr>
                <w:noProof/>
                <w:webHidden/>
              </w:rPr>
              <w:fldChar w:fldCharType="end"/>
            </w:r>
          </w:hyperlink>
        </w:p>
        <w:p w14:paraId="64FCB651" w14:textId="7447F25E" w:rsidR="0057176F" w:rsidRDefault="0057176F">
          <w:pPr>
            <w:pStyle w:val="TOC2"/>
            <w:tabs>
              <w:tab w:val="right" w:leader="dot" w:pos="9016"/>
            </w:tabs>
            <w:rPr>
              <w:noProof/>
              <w:kern w:val="2"/>
              <w:lang w:val="en-DK" w:eastAsia="en-DK"/>
              <w14:ligatures w14:val="standardContextual"/>
            </w:rPr>
          </w:pPr>
          <w:hyperlink w:anchor="_Toc164244125" w:history="1">
            <w:r w:rsidRPr="00D72155">
              <w:rPr>
                <w:rStyle w:val="Hyperlink"/>
                <w:noProof/>
              </w:rPr>
              <w:t>1. The Greenhouse Gas Protocol</w:t>
            </w:r>
            <w:r>
              <w:rPr>
                <w:noProof/>
                <w:webHidden/>
              </w:rPr>
              <w:tab/>
            </w:r>
            <w:r>
              <w:rPr>
                <w:noProof/>
                <w:webHidden/>
              </w:rPr>
              <w:fldChar w:fldCharType="begin"/>
            </w:r>
            <w:r>
              <w:rPr>
                <w:noProof/>
                <w:webHidden/>
              </w:rPr>
              <w:instrText xml:space="preserve"> PAGEREF _Toc164244125 \h </w:instrText>
            </w:r>
            <w:r>
              <w:rPr>
                <w:noProof/>
                <w:webHidden/>
              </w:rPr>
            </w:r>
            <w:r>
              <w:rPr>
                <w:noProof/>
                <w:webHidden/>
              </w:rPr>
              <w:fldChar w:fldCharType="separate"/>
            </w:r>
            <w:r>
              <w:rPr>
                <w:noProof/>
                <w:webHidden/>
              </w:rPr>
              <w:t>1</w:t>
            </w:r>
            <w:r>
              <w:rPr>
                <w:noProof/>
                <w:webHidden/>
              </w:rPr>
              <w:fldChar w:fldCharType="end"/>
            </w:r>
          </w:hyperlink>
        </w:p>
        <w:p w14:paraId="4DEB31E5" w14:textId="6F3D06F5" w:rsidR="0057176F" w:rsidRDefault="0057176F">
          <w:pPr>
            <w:pStyle w:val="TOC2"/>
            <w:tabs>
              <w:tab w:val="right" w:leader="dot" w:pos="9016"/>
            </w:tabs>
            <w:rPr>
              <w:noProof/>
              <w:kern w:val="2"/>
              <w:lang w:val="en-DK" w:eastAsia="en-DK"/>
              <w14:ligatures w14:val="standardContextual"/>
            </w:rPr>
          </w:pPr>
          <w:hyperlink w:anchor="_Toc164244126" w:history="1">
            <w:r w:rsidRPr="00D72155">
              <w:rPr>
                <w:rStyle w:val="Hyperlink"/>
                <w:noProof/>
              </w:rPr>
              <w:t>2. Organizational mapping</w:t>
            </w:r>
            <w:r>
              <w:rPr>
                <w:noProof/>
                <w:webHidden/>
              </w:rPr>
              <w:tab/>
            </w:r>
            <w:r>
              <w:rPr>
                <w:noProof/>
                <w:webHidden/>
              </w:rPr>
              <w:fldChar w:fldCharType="begin"/>
            </w:r>
            <w:r>
              <w:rPr>
                <w:noProof/>
                <w:webHidden/>
              </w:rPr>
              <w:instrText xml:space="preserve"> PAGEREF _Toc164244126 \h </w:instrText>
            </w:r>
            <w:r>
              <w:rPr>
                <w:noProof/>
                <w:webHidden/>
              </w:rPr>
            </w:r>
            <w:r>
              <w:rPr>
                <w:noProof/>
                <w:webHidden/>
              </w:rPr>
              <w:fldChar w:fldCharType="separate"/>
            </w:r>
            <w:r>
              <w:rPr>
                <w:noProof/>
                <w:webHidden/>
              </w:rPr>
              <w:t>2</w:t>
            </w:r>
            <w:r>
              <w:rPr>
                <w:noProof/>
                <w:webHidden/>
              </w:rPr>
              <w:fldChar w:fldCharType="end"/>
            </w:r>
          </w:hyperlink>
        </w:p>
        <w:p w14:paraId="52E5EA51" w14:textId="39A92AF8" w:rsidR="0057176F" w:rsidRDefault="0057176F">
          <w:pPr>
            <w:pStyle w:val="TOC2"/>
            <w:tabs>
              <w:tab w:val="right" w:leader="dot" w:pos="9016"/>
            </w:tabs>
            <w:rPr>
              <w:noProof/>
              <w:kern w:val="2"/>
              <w:lang w:val="en-DK" w:eastAsia="en-DK"/>
              <w14:ligatures w14:val="standardContextual"/>
            </w:rPr>
          </w:pPr>
          <w:hyperlink w:anchor="_Toc164244127" w:history="1">
            <w:r w:rsidRPr="00D72155">
              <w:rPr>
                <w:rStyle w:val="Hyperlink"/>
                <w:noProof/>
                <w:lang w:val="en-GB"/>
              </w:rPr>
              <w:t>3. Data collection</w:t>
            </w:r>
            <w:r>
              <w:rPr>
                <w:noProof/>
                <w:webHidden/>
              </w:rPr>
              <w:tab/>
            </w:r>
            <w:r>
              <w:rPr>
                <w:noProof/>
                <w:webHidden/>
              </w:rPr>
              <w:fldChar w:fldCharType="begin"/>
            </w:r>
            <w:r>
              <w:rPr>
                <w:noProof/>
                <w:webHidden/>
              </w:rPr>
              <w:instrText xml:space="preserve"> PAGEREF _Toc164244127 \h </w:instrText>
            </w:r>
            <w:r>
              <w:rPr>
                <w:noProof/>
                <w:webHidden/>
              </w:rPr>
            </w:r>
            <w:r>
              <w:rPr>
                <w:noProof/>
                <w:webHidden/>
              </w:rPr>
              <w:fldChar w:fldCharType="separate"/>
            </w:r>
            <w:r>
              <w:rPr>
                <w:noProof/>
                <w:webHidden/>
              </w:rPr>
              <w:t>3</w:t>
            </w:r>
            <w:r>
              <w:rPr>
                <w:noProof/>
                <w:webHidden/>
              </w:rPr>
              <w:fldChar w:fldCharType="end"/>
            </w:r>
          </w:hyperlink>
        </w:p>
        <w:p w14:paraId="595B143E" w14:textId="64FB7D86" w:rsidR="0057176F" w:rsidRDefault="0057176F">
          <w:pPr>
            <w:pStyle w:val="TOC2"/>
            <w:tabs>
              <w:tab w:val="right" w:leader="dot" w:pos="9016"/>
            </w:tabs>
            <w:rPr>
              <w:noProof/>
              <w:kern w:val="2"/>
              <w:lang w:val="en-DK" w:eastAsia="en-DK"/>
              <w14:ligatures w14:val="standardContextual"/>
            </w:rPr>
          </w:pPr>
          <w:hyperlink w:anchor="_Toc164244128" w:history="1">
            <w:r w:rsidRPr="00D72155">
              <w:rPr>
                <w:rStyle w:val="Hyperlink"/>
                <w:noProof/>
                <w:lang w:val="en-GB"/>
              </w:rPr>
              <w:t>4. Results</w:t>
            </w:r>
            <w:r>
              <w:rPr>
                <w:noProof/>
                <w:webHidden/>
              </w:rPr>
              <w:tab/>
            </w:r>
            <w:r>
              <w:rPr>
                <w:noProof/>
                <w:webHidden/>
              </w:rPr>
              <w:fldChar w:fldCharType="begin"/>
            </w:r>
            <w:r>
              <w:rPr>
                <w:noProof/>
                <w:webHidden/>
              </w:rPr>
              <w:instrText xml:space="preserve"> PAGEREF _Toc164244128 \h </w:instrText>
            </w:r>
            <w:r>
              <w:rPr>
                <w:noProof/>
                <w:webHidden/>
              </w:rPr>
            </w:r>
            <w:r>
              <w:rPr>
                <w:noProof/>
                <w:webHidden/>
              </w:rPr>
              <w:fldChar w:fldCharType="separate"/>
            </w:r>
            <w:r>
              <w:rPr>
                <w:noProof/>
                <w:webHidden/>
              </w:rPr>
              <w:t>4</w:t>
            </w:r>
            <w:r>
              <w:rPr>
                <w:noProof/>
                <w:webHidden/>
              </w:rPr>
              <w:fldChar w:fldCharType="end"/>
            </w:r>
          </w:hyperlink>
        </w:p>
        <w:p w14:paraId="1624812B" w14:textId="16567F5F" w:rsidR="0057176F" w:rsidRDefault="0057176F">
          <w:pPr>
            <w:pStyle w:val="TOC2"/>
            <w:tabs>
              <w:tab w:val="right" w:leader="dot" w:pos="9016"/>
            </w:tabs>
            <w:rPr>
              <w:noProof/>
              <w:kern w:val="2"/>
              <w:lang w:val="en-DK" w:eastAsia="en-DK"/>
              <w14:ligatures w14:val="standardContextual"/>
            </w:rPr>
          </w:pPr>
          <w:hyperlink w:anchor="_Toc164244129" w:history="1">
            <w:r w:rsidRPr="00D72155">
              <w:rPr>
                <w:rStyle w:val="Hyperlink"/>
                <w:noProof/>
                <w:lang w:val="en-GB"/>
              </w:rPr>
              <w:t>5. Limitations</w:t>
            </w:r>
            <w:r>
              <w:rPr>
                <w:noProof/>
                <w:webHidden/>
              </w:rPr>
              <w:tab/>
            </w:r>
            <w:r>
              <w:rPr>
                <w:noProof/>
                <w:webHidden/>
              </w:rPr>
              <w:fldChar w:fldCharType="begin"/>
            </w:r>
            <w:r>
              <w:rPr>
                <w:noProof/>
                <w:webHidden/>
              </w:rPr>
              <w:instrText xml:space="preserve"> PAGEREF _Toc164244129 \h </w:instrText>
            </w:r>
            <w:r>
              <w:rPr>
                <w:noProof/>
                <w:webHidden/>
              </w:rPr>
            </w:r>
            <w:r>
              <w:rPr>
                <w:noProof/>
                <w:webHidden/>
              </w:rPr>
              <w:fldChar w:fldCharType="separate"/>
            </w:r>
            <w:r>
              <w:rPr>
                <w:noProof/>
                <w:webHidden/>
              </w:rPr>
              <w:t>5</w:t>
            </w:r>
            <w:r>
              <w:rPr>
                <w:noProof/>
                <w:webHidden/>
              </w:rPr>
              <w:fldChar w:fldCharType="end"/>
            </w:r>
          </w:hyperlink>
        </w:p>
        <w:p w14:paraId="7ED73A45" w14:textId="19443871" w:rsidR="00A40BA8" w:rsidRDefault="0057176F" w:rsidP="00AE0381">
          <w:r>
            <w:rPr>
              <w:b/>
              <w:bCs/>
              <w:noProof/>
            </w:rPr>
            <w:fldChar w:fldCharType="end"/>
          </w:r>
        </w:p>
      </w:sdtContent>
    </w:sdt>
    <w:p w14:paraId="5501664A" w14:textId="77777777" w:rsidR="009533AF" w:rsidRPr="0057176F" w:rsidRDefault="009533AF" w:rsidP="0057176F">
      <w:pPr>
        <w:pStyle w:val="Title"/>
        <w:jc w:val="center"/>
        <w:rPr>
          <w:rFonts w:cstheme="majorHAnsi"/>
          <w:sz w:val="16"/>
          <w:szCs w:val="16"/>
        </w:rPr>
      </w:pPr>
    </w:p>
    <w:p w14:paraId="04D6BDAB" w14:textId="5B253E8B" w:rsidR="004E2B15" w:rsidRDefault="00A40BA8" w:rsidP="00A40BA8">
      <w:pPr>
        <w:pStyle w:val="Heading2"/>
        <w:rPr>
          <w:color w:val="auto"/>
        </w:rPr>
      </w:pPr>
      <w:bookmarkStart w:id="0" w:name="_Toc164244124"/>
      <w:r w:rsidRPr="001A76A9">
        <w:rPr>
          <w:color w:val="auto"/>
        </w:rPr>
        <w:t>Introduction</w:t>
      </w:r>
      <w:bookmarkEnd w:id="0"/>
    </w:p>
    <w:p w14:paraId="1A11D24E" w14:textId="77777777" w:rsidR="003B09DE" w:rsidRPr="003B09DE" w:rsidRDefault="003B09DE" w:rsidP="003B09DE"/>
    <w:p w14:paraId="2D444726" w14:textId="799DE0A3" w:rsidR="00E35800" w:rsidRPr="00E35800" w:rsidRDefault="00EE0030" w:rsidP="00D747EC">
      <w:pPr>
        <w:jc w:val="both"/>
        <w:rPr>
          <w:rFonts w:asciiTheme="majorHAnsi" w:hAnsiTheme="majorHAnsi" w:cstheme="majorHAnsi"/>
          <w:sz w:val="22"/>
          <w:szCs w:val="22"/>
        </w:rPr>
      </w:pPr>
      <w:r>
        <w:rPr>
          <w:rFonts w:asciiTheme="majorHAnsi" w:hAnsiTheme="majorHAnsi" w:cstheme="majorHAnsi"/>
          <w:sz w:val="22"/>
          <w:szCs w:val="22"/>
        </w:rPr>
        <w:t>This note presents the results of the 202</w:t>
      </w:r>
      <w:r w:rsidR="00643522">
        <w:rPr>
          <w:rFonts w:asciiTheme="majorHAnsi" w:hAnsiTheme="majorHAnsi" w:cstheme="majorHAnsi"/>
          <w:sz w:val="22"/>
          <w:szCs w:val="22"/>
        </w:rPr>
        <w:t>3</w:t>
      </w:r>
      <w:r>
        <w:rPr>
          <w:rFonts w:asciiTheme="majorHAnsi" w:hAnsiTheme="majorHAnsi" w:cstheme="majorHAnsi"/>
          <w:sz w:val="22"/>
          <w:szCs w:val="22"/>
        </w:rPr>
        <w:t xml:space="preserve"> G</w:t>
      </w:r>
      <w:r w:rsidR="00D35B9C">
        <w:rPr>
          <w:rFonts w:asciiTheme="majorHAnsi" w:hAnsiTheme="majorHAnsi" w:cstheme="majorHAnsi"/>
          <w:sz w:val="22"/>
          <w:szCs w:val="22"/>
        </w:rPr>
        <w:t xml:space="preserve">reenhouse </w:t>
      </w:r>
      <w:r>
        <w:rPr>
          <w:rFonts w:asciiTheme="majorHAnsi" w:hAnsiTheme="majorHAnsi" w:cstheme="majorHAnsi"/>
          <w:sz w:val="22"/>
          <w:szCs w:val="22"/>
        </w:rPr>
        <w:t>G</w:t>
      </w:r>
      <w:r w:rsidR="00D35B9C">
        <w:rPr>
          <w:rFonts w:asciiTheme="majorHAnsi" w:hAnsiTheme="majorHAnsi" w:cstheme="majorHAnsi"/>
          <w:sz w:val="22"/>
          <w:szCs w:val="22"/>
        </w:rPr>
        <w:t>as</w:t>
      </w:r>
      <w:r w:rsidR="00FD0AD8">
        <w:rPr>
          <w:rFonts w:asciiTheme="majorHAnsi" w:hAnsiTheme="majorHAnsi" w:cstheme="majorHAnsi"/>
          <w:sz w:val="22"/>
          <w:szCs w:val="22"/>
        </w:rPr>
        <w:t xml:space="preserve"> (GHG)</w:t>
      </w:r>
      <w:r>
        <w:rPr>
          <w:rFonts w:asciiTheme="majorHAnsi" w:hAnsiTheme="majorHAnsi" w:cstheme="majorHAnsi"/>
          <w:sz w:val="22"/>
          <w:szCs w:val="22"/>
        </w:rPr>
        <w:t xml:space="preserve"> </w:t>
      </w:r>
      <w:r w:rsidR="00330305">
        <w:rPr>
          <w:rFonts w:asciiTheme="majorHAnsi" w:hAnsiTheme="majorHAnsi" w:cstheme="majorHAnsi"/>
          <w:sz w:val="22"/>
          <w:szCs w:val="22"/>
        </w:rPr>
        <w:t>inventory</w:t>
      </w:r>
      <w:r>
        <w:rPr>
          <w:rFonts w:asciiTheme="majorHAnsi" w:hAnsiTheme="majorHAnsi" w:cstheme="majorHAnsi"/>
          <w:sz w:val="22"/>
          <w:szCs w:val="22"/>
        </w:rPr>
        <w:t xml:space="preserve"> for </w:t>
      </w:r>
      <w:proofErr w:type="spellStart"/>
      <w:r>
        <w:rPr>
          <w:rFonts w:asciiTheme="majorHAnsi" w:hAnsiTheme="majorHAnsi" w:cstheme="majorHAnsi"/>
          <w:sz w:val="22"/>
          <w:szCs w:val="22"/>
        </w:rPr>
        <w:t>ProCon</w:t>
      </w:r>
      <w:proofErr w:type="spellEnd"/>
      <w:r>
        <w:rPr>
          <w:rFonts w:asciiTheme="majorHAnsi" w:hAnsiTheme="majorHAnsi" w:cstheme="majorHAnsi"/>
          <w:sz w:val="22"/>
          <w:szCs w:val="22"/>
        </w:rPr>
        <w:t xml:space="preserve"> Group</w:t>
      </w:r>
      <w:r w:rsidR="00D35B9C">
        <w:rPr>
          <w:rFonts w:asciiTheme="majorHAnsi" w:hAnsiTheme="majorHAnsi" w:cstheme="majorHAnsi"/>
          <w:sz w:val="22"/>
          <w:szCs w:val="22"/>
        </w:rPr>
        <w:t xml:space="preserve"> (</w:t>
      </w:r>
      <w:proofErr w:type="spellStart"/>
      <w:r w:rsidR="00D35B9C">
        <w:rPr>
          <w:rFonts w:asciiTheme="majorHAnsi" w:hAnsiTheme="majorHAnsi" w:cstheme="majorHAnsi"/>
          <w:sz w:val="22"/>
          <w:szCs w:val="22"/>
        </w:rPr>
        <w:t>P</w:t>
      </w:r>
      <w:r w:rsidR="00FD0AD8">
        <w:rPr>
          <w:rFonts w:asciiTheme="majorHAnsi" w:hAnsiTheme="majorHAnsi" w:cstheme="majorHAnsi"/>
          <w:sz w:val="22"/>
          <w:szCs w:val="22"/>
        </w:rPr>
        <w:t>roCon</w:t>
      </w:r>
      <w:proofErr w:type="spellEnd"/>
      <w:r w:rsidR="00FD0AD8">
        <w:rPr>
          <w:rFonts w:asciiTheme="majorHAnsi" w:hAnsiTheme="majorHAnsi" w:cstheme="majorHAnsi"/>
          <w:sz w:val="22"/>
          <w:szCs w:val="22"/>
        </w:rPr>
        <w:t>)</w:t>
      </w:r>
      <w:r>
        <w:rPr>
          <w:rFonts w:asciiTheme="majorHAnsi" w:hAnsiTheme="majorHAnsi" w:cstheme="majorHAnsi"/>
          <w:sz w:val="22"/>
          <w:szCs w:val="22"/>
        </w:rPr>
        <w:t>.</w:t>
      </w:r>
      <w:r w:rsidR="00FD0AD8">
        <w:rPr>
          <w:rFonts w:asciiTheme="majorHAnsi" w:hAnsiTheme="majorHAnsi" w:cstheme="majorHAnsi"/>
          <w:sz w:val="22"/>
          <w:szCs w:val="22"/>
        </w:rPr>
        <w:t xml:space="preserve"> Due to </w:t>
      </w:r>
      <w:r w:rsidR="003B01D8">
        <w:rPr>
          <w:rFonts w:asciiTheme="majorHAnsi" w:hAnsiTheme="majorHAnsi" w:cstheme="majorHAnsi"/>
          <w:sz w:val="22"/>
          <w:szCs w:val="22"/>
        </w:rPr>
        <w:t>an</w:t>
      </w:r>
      <w:r w:rsidR="00FD0AD8">
        <w:rPr>
          <w:rFonts w:asciiTheme="majorHAnsi" w:hAnsiTheme="majorHAnsi" w:cstheme="majorHAnsi"/>
          <w:sz w:val="22"/>
          <w:szCs w:val="22"/>
        </w:rPr>
        <w:t xml:space="preserve"> increased focus on sustainability</w:t>
      </w:r>
      <w:r w:rsidR="0094660D">
        <w:rPr>
          <w:rFonts w:asciiTheme="majorHAnsi" w:hAnsiTheme="majorHAnsi" w:cstheme="majorHAnsi"/>
          <w:sz w:val="22"/>
          <w:szCs w:val="22"/>
        </w:rPr>
        <w:t>,</w:t>
      </w:r>
      <w:r w:rsidR="007A37AB">
        <w:rPr>
          <w:rFonts w:asciiTheme="majorHAnsi" w:hAnsiTheme="majorHAnsi" w:cstheme="majorHAnsi"/>
          <w:sz w:val="22"/>
          <w:szCs w:val="22"/>
        </w:rPr>
        <w:t xml:space="preserve"> </w:t>
      </w:r>
      <w:proofErr w:type="spellStart"/>
      <w:r w:rsidR="007A37AB" w:rsidRPr="00E35800">
        <w:rPr>
          <w:rFonts w:asciiTheme="majorHAnsi" w:hAnsiTheme="majorHAnsi" w:cstheme="majorHAnsi"/>
          <w:sz w:val="22"/>
          <w:szCs w:val="22"/>
        </w:rPr>
        <w:t>ProCon</w:t>
      </w:r>
      <w:proofErr w:type="spellEnd"/>
      <w:r w:rsidR="00933DD3" w:rsidRPr="00E35800">
        <w:rPr>
          <w:rFonts w:asciiTheme="majorHAnsi" w:hAnsiTheme="majorHAnsi" w:cstheme="majorHAnsi"/>
          <w:sz w:val="22"/>
          <w:szCs w:val="22"/>
        </w:rPr>
        <w:t xml:space="preserve"> </w:t>
      </w:r>
      <w:r w:rsidR="00427F45" w:rsidRPr="00E35800">
        <w:rPr>
          <w:rFonts w:asciiTheme="majorHAnsi" w:hAnsiTheme="majorHAnsi" w:cstheme="majorHAnsi"/>
          <w:sz w:val="22"/>
          <w:szCs w:val="22"/>
        </w:rPr>
        <w:t xml:space="preserve">decided </w:t>
      </w:r>
      <w:r w:rsidR="00407715" w:rsidRPr="00E35800">
        <w:rPr>
          <w:rFonts w:asciiTheme="majorHAnsi" w:hAnsiTheme="majorHAnsi" w:cstheme="majorHAnsi"/>
          <w:sz w:val="22"/>
          <w:szCs w:val="22"/>
        </w:rPr>
        <w:t xml:space="preserve">in 2022 </w:t>
      </w:r>
      <w:r w:rsidR="00427F45" w:rsidRPr="00E35800">
        <w:rPr>
          <w:rFonts w:asciiTheme="majorHAnsi" w:hAnsiTheme="majorHAnsi" w:cstheme="majorHAnsi"/>
          <w:sz w:val="22"/>
          <w:szCs w:val="22"/>
        </w:rPr>
        <w:t>to conduct their first ever GHG account</w:t>
      </w:r>
      <w:r w:rsidR="00407715" w:rsidRPr="00E35800">
        <w:rPr>
          <w:rFonts w:asciiTheme="majorHAnsi" w:hAnsiTheme="majorHAnsi" w:cstheme="majorHAnsi"/>
          <w:sz w:val="22"/>
          <w:szCs w:val="22"/>
        </w:rPr>
        <w:t xml:space="preserve">, which makes this the </w:t>
      </w:r>
      <w:r w:rsidR="003E1772" w:rsidRPr="00E35800">
        <w:rPr>
          <w:rFonts w:asciiTheme="majorHAnsi" w:hAnsiTheme="majorHAnsi" w:cstheme="majorHAnsi"/>
          <w:sz w:val="22"/>
          <w:szCs w:val="22"/>
        </w:rPr>
        <w:t>company’s</w:t>
      </w:r>
      <w:r w:rsidR="00407715" w:rsidRPr="00E35800">
        <w:rPr>
          <w:rFonts w:asciiTheme="majorHAnsi" w:hAnsiTheme="majorHAnsi" w:cstheme="majorHAnsi"/>
          <w:sz w:val="22"/>
          <w:szCs w:val="22"/>
        </w:rPr>
        <w:t xml:space="preserve"> second GHG account.</w:t>
      </w:r>
      <w:r w:rsidR="00FE5372" w:rsidRPr="00E35800">
        <w:rPr>
          <w:rFonts w:asciiTheme="majorHAnsi" w:hAnsiTheme="majorHAnsi" w:cstheme="majorHAnsi"/>
          <w:sz w:val="22"/>
          <w:szCs w:val="22"/>
        </w:rPr>
        <w:t xml:space="preserve"> </w:t>
      </w:r>
      <w:r w:rsidR="00DA24B6" w:rsidRPr="00E35800">
        <w:rPr>
          <w:rFonts w:asciiTheme="majorHAnsi" w:hAnsiTheme="majorHAnsi" w:cstheme="majorHAnsi"/>
          <w:sz w:val="22"/>
          <w:szCs w:val="22"/>
        </w:rPr>
        <w:t xml:space="preserve">Therefore, </w:t>
      </w:r>
      <w:r w:rsidR="00E35800">
        <w:rPr>
          <w:rFonts w:asciiTheme="majorHAnsi" w:hAnsiTheme="majorHAnsi" w:cstheme="majorHAnsi"/>
          <w:sz w:val="22"/>
          <w:szCs w:val="22"/>
        </w:rPr>
        <w:t>t</w:t>
      </w:r>
      <w:r w:rsidR="00DA24B6" w:rsidRPr="00E35800">
        <w:rPr>
          <w:rFonts w:asciiTheme="majorHAnsi" w:hAnsiTheme="majorHAnsi" w:cstheme="majorHAnsi"/>
          <w:sz w:val="22"/>
          <w:szCs w:val="22"/>
        </w:rPr>
        <w:t xml:space="preserve">he presented results in this note are to be </w:t>
      </w:r>
      <w:r w:rsidR="00DA24B6" w:rsidRPr="00E35800">
        <w:rPr>
          <w:rFonts w:asciiTheme="majorHAnsi" w:hAnsiTheme="majorHAnsi" w:cstheme="majorHAnsi"/>
          <w:sz w:val="22"/>
          <w:szCs w:val="22"/>
        </w:rPr>
        <w:t>look</w:t>
      </w:r>
      <w:r w:rsidR="002E0ED3">
        <w:rPr>
          <w:rFonts w:asciiTheme="majorHAnsi" w:hAnsiTheme="majorHAnsi" w:cstheme="majorHAnsi"/>
          <w:sz w:val="22"/>
          <w:szCs w:val="22"/>
        </w:rPr>
        <w:t>ed</w:t>
      </w:r>
      <w:r w:rsidR="00DA24B6" w:rsidRPr="00E35800">
        <w:rPr>
          <w:rFonts w:asciiTheme="majorHAnsi" w:hAnsiTheme="majorHAnsi" w:cstheme="majorHAnsi"/>
          <w:sz w:val="22"/>
          <w:szCs w:val="22"/>
        </w:rPr>
        <w:t xml:space="preserve"> upon as </w:t>
      </w:r>
      <w:r w:rsidR="00DA24B6" w:rsidRPr="00E35800">
        <w:rPr>
          <w:rFonts w:asciiTheme="majorHAnsi" w:hAnsiTheme="majorHAnsi" w:cstheme="majorHAnsi"/>
          <w:sz w:val="22"/>
          <w:szCs w:val="22"/>
        </w:rPr>
        <w:t xml:space="preserve">a </w:t>
      </w:r>
      <w:r w:rsidR="00DA24B6" w:rsidRPr="00E35800">
        <w:rPr>
          <w:rFonts w:asciiTheme="majorHAnsi" w:hAnsiTheme="majorHAnsi" w:cstheme="majorHAnsi"/>
          <w:sz w:val="22"/>
          <w:szCs w:val="22"/>
        </w:rPr>
        <w:t>stage of development</w:t>
      </w:r>
      <w:r w:rsidR="00E35800" w:rsidRPr="00E35800">
        <w:rPr>
          <w:rFonts w:asciiTheme="majorHAnsi" w:hAnsiTheme="majorHAnsi" w:cstheme="majorHAnsi"/>
          <w:sz w:val="22"/>
          <w:szCs w:val="22"/>
        </w:rPr>
        <w:t xml:space="preserve">, </w:t>
      </w:r>
      <w:r w:rsidR="00E35800" w:rsidRPr="00E35800">
        <w:rPr>
          <w:rFonts w:asciiTheme="majorHAnsi" w:hAnsiTheme="majorHAnsi" w:cstheme="majorHAnsi"/>
          <w:sz w:val="22"/>
          <w:szCs w:val="22"/>
        </w:rPr>
        <w:t>structuring</w:t>
      </w:r>
      <w:r w:rsidR="00DA24B6" w:rsidRPr="00E35800">
        <w:rPr>
          <w:rFonts w:asciiTheme="majorHAnsi" w:hAnsiTheme="majorHAnsi" w:cstheme="majorHAnsi"/>
          <w:sz w:val="22"/>
          <w:szCs w:val="22"/>
        </w:rPr>
        <w:t xml:space="preserve"> </w:t>
      </w:r>
      <w:r w:rsidR="00DA24B6" w:rsidRPr="00E35800">
        <w:rPr>
          <w:rFonts w:asciiTheme="majorHAnsi" w:hAnsiTheme="majorHAnsi" w:cstheme="majorHAnsi"/>
          <w:sz w:val="22"/>
          <w:szCs w:val="22"/>
        </w:rPr>
        <w:t>a</w:t>
      </w:r>
      <w:r w:rsidR="00E35800" w:rsidRPr="00E35800">
        <w:rPr>
          <w:rFonts w:asciiTheme="majorHAnsi" w:hAnsiTheme="majorHAnsi" w:cstheme="majorHAnsi"/>
          <w:sz w:val="22"/>
          <w:szCs w:val="22"/>
        </w:rPr>
        <w:t>nd</w:t>
      </w:r>
      <w:r w:rsidR="00DA24B6" w:rsidRPr="00E35800">
        <w:rPr>
          <w:rFonts w:asciiTheme="majorHAnsi" w:hAnsiTheme="majorHAnsi" w:cstheme="majorHAnsi"/>
          <w:sz w:val="22"/>
          <w:szCs w:val="22"/>
        </w:rPr>
        <w:t xml:space="preserve"> implement</w:t>
      </w:r>
      <w:r w:rsidR="00DA24B6" w:rsidRPr="00E35800">
        <w:rPr>
          <w:rFonts w:asciiTheme="majorHAnsi" w:hAnsiTheme="majorHAnsi" w:cstheme="majorHAnsi"/>
          <w:sz w:val="22"/>
          <w:szCs w:val="22"/>
        </w:rPr>
        <w:t xml:space="preserve">ing </w:t>
      </w:r>
      <w:proofErr w:type="spellStart"/>
      <w:r w:rsidR="00DA24B6" w:rsidRPr="00E35800">
        <w:rPr>
          <w:rFonts w:asciiTheme="majorHAnsi" w:hAnsiTheme="majorHAnsi" w:cstheme="majorHAnsi"/>
          <w:sz w:val="22"/>
          <w:szCs w:val="22"/>
        </w:rPr>
        <w:t>ProCon’s</w:t>
      </w:r>
      <w:proofErr w:type="spellEnd"/>
      <w:r w:rsidR="00DA24B6" w:rsidRPr="00E35800">
        <w:rPr>
          <w:rFonts w:asciiTheme="majorHAnsi" w:hAnsiTheme="majorHAnsi" w:cstheme="majorHAnsi"/>
          <w:sz w:val="22"/>
          <w:szCs w:val="22"/>
        </w:rPr>
        <w:t xml:space="preserve"> intentions </w:t>
      </w:r>
      <w:r w:rsidR="002E0ED3">
        <w:rPr>
          <w:rFonts w:asciiTheme="majorHAnsi" w:hAnsiTheme="majorHAnsi" w:cstheme="majorHAnsi"/>
          <w:sz w:val="22"/>
          <w:szCs w:val="22"/>
        </w:rPr>
        <w:t>for</w:t>
      </w:r>
      <w:r w:rsidR="00DA24B6" w:rsidRPr="00E35800">
        <w:rPr>
          <w:rFonts w:asciiTheme="majorHAnsi" w:hAnsiTheme="majorHAnsi" w:cstheme="majorHAnsi"/>
          <w:sz w:val="22"/>
          <w:szCs w:val="22"/>
        </w:rPr>
        <w:t xml:space="preserve"> future GHG reporting</w:t>
      </w:r>
      <w:r w:rsidR="00E35800" w:rsidRPr="00E35800">
        <w:rPr>
          <w:rFonts w:asciiTheme="majorHAnsi" w:hAnsiTheme="majorHAnsi" w:cstheme="majorHAnsi"/>
          <w:sz w:val="22"/>
          <w:szCs w:val="22"/>
        </w:rPr>
        <w:t>.</w:t>
      </w:r>
      <w:r w:rsidR="00DA24B6" w:rsidRPr="00E35800">
        <w:rPr>
          <w:rFonts w:asciiTheme="majorHAnsi" w:hAnsiTheme="majorHAnsi" w:cstheme="majorHAnsi"/>
          <w:sz w:val="22"/>
          <w:szCs w:val="22"/>
        </w:rPr>
        <w:t xml:space="preserve"> </w:t>
      </w:r>
      <w:r w:rsidR="00E35800" w:rsidRPr="00E75893">
        <w:rPr>
          <w:rFonts w:asciiTheme="majorHAnsi" w:hAnsiTheme="majorHAnsi" w:cstheme="majorHAnsi"/>
          <w:sz w:val="22"/>
          <w:szCs w:val="22"/>
        </w:rPr>
        <w:t>I</w:t>
      </w:r>
      <w:r w:rsidR="00E35800" w:rsidRPr="00E75893">
        <w:rPr>
          <w:rFonts w:asciiTheme="majorHAnsi" w:hAnsiTheme="majorHAnsi" w:cstheme="majorHAnsi"/>
          <w:sz w:val="22"/>
          <w:szCs w:val="22"/>
        </w:rPr>
        <w:t>nitiation</w:t>
      </w:r>
      <w:r w:rsidR="00E35800" w:rsidRPr="00E75893">
        <w:rPr>
          <w:rFonts w:asciiTheme="majorHAnsi" w:hAnsiTheme="majorHAnsi" w:cstheme="majorHAnsi"/>
          <w:sz w:val="22"/>
          <w:szCs w:val="22"/>
        </w:rPr>
        <w:t xml:space="preserve"> of a data collection </w:t>
      </w:r>
      <w:r w:rsidR="00E35800" w:rsidRPr="00E75893">
        <w:rPr>
          <w:rFonts w:asciiTheme="majorHAnsi" w:hAnsiTheme="majorHAnsi" w:cstheme="majorHAnsi"/>
          <w:sz w:val="22"/>
          <w:szCs w:val="22"/>
        </w:rPr>
        <w:t>structure</w:t>
      </w:r>
      <w:r w:rsidR="00E35800" w:rsidRPr="00E75893">
        <w:rPr>
          <w:rFonts w:asciiTheme="majorHAnsi" w:hAnsiTheme="majorHAnsi" w:cstheme="majorHAnsi"/>
          <w:sz w:val="22"/>
          <w:szCs w:val="22"/>
        </w:rPr>
        <w:t xml:space="preserve"> has been a focus point in this 2023 </w:t>
      </w:r>
      <w:r w:rsidR="00F927BC" w:rsidRPr="00E75893">
        <w:rPr>
          <w:rFonts w:asciiTheme="majorHAnsi" w:hAnsiTheme="majorHAnsi" w:cstheme="majorHAnsi"/>
          <w:sz w:val="22"/>
          <w:szCs w:val="22"/>
        </w:rPr>
        <w:t xml:space="preserve">GHG inventory and the process will continue towards </w:t>
      </w:r>
      <w:proofErr w:type="spellStart"/>
      <w:r w:rsidR="00F927BC" w:rsidRPr="00E75893">
        <w:rPr>
          <w:rFonts w:asciiTheme="majorHAnsi" w:hAnsiTheme="majorHAnsi" w:cstheme="majorHAnsi"/>
          <w:sz w:val="22"/>
          <w:szCs w:val="22"/>
        </w:rPr>
        <w:t>ProCon’s</w:t>
      </w:r>
      <w:proofErr w:type="spellEnd"/>
      <w:r w:rsidR="00F927BC" w:rsidRPr="00E75893">
        <w:rPr>
          <w:rFonts w:asciiTheme="majorHAnsi" w:hAnsiTheme="majorHAnsi" w:cstheme="majorHAnsi"/>
          <w:sz w:val="22"/>
          <w:szCs w:val="22"/>
        </w:rPr>
        <w:t xml:space="preserve"> 2024 GHG inventory, as </w:t>
      </w:r>
      <w:r w:rsidR="00F927BC" w:rsidRPr="00E75893">
        <w:rPr>
          <w:rFonts w:asciiTheme="majorHAnsi" w:hAnsiTheme="majorHAnsi" w:cstheme="majorHAnsi"/>
          <w:sz w:val="22"/>
          <w:szCs w:val="22"/>
        </w:rPr>
        <w:t>initiative</w:t>
      </w:r>
      <w:r w:rsidR="00F927BC" w:rsidRPr="00E75893">
        <w:rPr>
          <w:rFonts w:asciiTheme="majorHAnsi" w:hAnsiTheme="majorHAnsi" w:cstheme="majorHAnsi"/>
          <w:sz w:val="22"/>
          <w:szCs w:val="22"/>
        </w:rPr>
        <w:t>s ha</w:t>
      </w:r>
      <w:r w:rsidR="00E75893">
        <w:rPr>
          <w:rFonts w:asciiTheme="majorHAnsi" w:hAnsiTheme="majorHAnsi" w:cstheme="majorHAnsi"/>
          <w:sz w:val="22"/>
          <w:szCs w:val="22"/>
        </w:rPr>
        <w:t>ve</w:t>
      </w:r>
      <w:r w:rsidR="00F927BC" w:rsidRPr="00E75893">
        <w:rPr>
          <w:rFonts w:asciiTheme="majorHAnsi" w:hAnsiTheme="majorHAnsi" w:cstheme="majorHAnsi"/>
          <w:sz w:val="22"/>
          <w:szCs w:val="22"/>
        </w:rPr>
        <w:t xml:space="preserve"> been launched. A Further focus point in th</w:t>
      </w:r>
      <w:r w:rsidR="00E75893">
        <w:rPr>
          <w:rFonts w:asciiTheme="majorHAnsi" w:hAnsiTheme="majorHAnsi" w:cstheme="majorHAnsi"/>
          <w:sz w:val="22"/>
          <w:szCs w:val="22"/>
        </w:rPr>
        <w:t xml:space="preserve">e 2023 </w:t>
      </w:r>
      <w:r w:rsidR="00F927BC" w:rsidRPr="00E75893">
        <w:rPr>
          <w:rFonts w:asciiTheme="majorHAnsi" w:hAnsiTheme="majorHAnsi" w:cstheme="majorHAnsi"/>
          <w:sz w:val="22"/>
          <w:szCs w:val="22"/>
        </w:rPr>
        <w:t>inventory is to identify which main areas of the companies activit</w:t>
      </w:r>
      <w:r w:rsidR="002E0ED3">
        <w:rPr>
          <w:rFonts w:asciiTheme="majorHAnsi" w:hAnsiTheme="majorHAnsi" w:cstheme="majorHAnsi"/>
          <w:sz w:val="22"/>
          <w:szCs w:val="22"/>
        </w:rPr>
        <w:t>i</w:t>
      </w:r>
      <w:r w:rsidR="00F927BC" w:rsidRPr="00E75893">
        <w:rPr>
          <w:rFonts w:asciiTheme="majorHAnsi" w:hAnsiTheme="majorHAnsi" w:cstheme="majorHAnsi"/>
          <w:sz w:val="22"/>
          <w:szCs w:val="22"/>
        </w:rPr>
        <w:t xml:space="preserve">es creates the </w:t>
      </w:r>
      <w:r w:rsidR="00E75893" w:rsidRPr="00E75893">
        <w:rPr>
          <w:rFonts w:asciiTheme="majorHAnsi" w:hAnsiTheme="majorHAnsi" w:cstheme="majorHAnsi"/>
          <w:sz w:val="22"/>
          <w:szCs w:val="22"/>
        </w:rPr>
        <w:t xml:space="preserve">largest </w:t>
      </w:r>
      <w:r w:rsidR="00E75893" w:rsidRPr="00E75893">
        <w:rPr>
          <w:rFonts w:asciiTheme="majorHAnsi" w:hAnsiTheme="majorHAnsi" w:cstheme="majorHAnsi"/>
          <w:sz w:val="22"/>
          <w:szCs w:val="22"/>
        </w:rPr>
        <w:t>CO2 emission</w:t>
      </w:r>
      <w:r w:rsidR="00E75893" w:rsidRPr="00E75893">
        <w:rPr>
          <w:rFonts w:asciiTheme="majorHAnsi" w:hAnsiTheme="majorHAnsi" w:cstheme="majorHAnsi"/>
          <w:sz w:val="22"/>
          <w:szCs w:val="22"/>
        </w:rPr>
        <w:t>s.</w:t>
      </w:r>
      <w:r w:rsidR="00F927BC" w:rsidRPr="00E75893">
        <w:rPr>
          <w:rFonts w:asciiTheme="majorHAnsi" w:hAnsiTheme="majorHAnsi" w:cstheme="majorHAnsi"/>
          <w:sz w:val="22"/>
          <w:szCs w:val="22"/>
        </w:rPr>
        <w:t xml:space="preserve"> </w:t>
      </w:r>
    </w:p>
    <w:p w14:paraId="36BE78FC" w14:textId="77777777" w:rsidR="0028554D" w:rsidRPr="00E75893" w:rsidRDefault="0028554D" w:rsidP="0028554D">
      <w:pPr>
        <w:jc w:val="both"/>
        <w:rPr>
          <w:rFonts w:asciiTheme="majorHAnsi" w:hAnsiTheme="majorHAnsi" w:cstheme="majorHAnsi"/>
          <w:color w:val="0070C0"/>
          <w:sz w:val="22"/>
          <w:szCs w:val="22"/>
          <w:lang w:val="en-GB"/>
        </w:rPr>
      </w:pPr>
    </w:p>
    <w:p w14:paraId="7737DBA8" w14:textId="4403318D" w:rsidR="0028554D" w:rsidRPr="00862EEC" w:rsidRDefault="0028554D" w:rsidP="0028554D">
      <w:pPr>
        <w:jc w:val="both"/>
        <w:rPr>
          <w:rFonts w:asciiTheme="majorHAnsi" w:hAnsiTheme="majorHAnsi" w:cstheme="majorHAnsi"/>
          <w:sz w:val="22"/>
          <w:szCs w:val="22"/>
        </w:rPr>
      </w:pPr>
      <w:r w:rsidRPr="00862EEC">
        <w:rPr>
          <w:rFonts w:asciiTheme="majorHAnsi" w:hAnsiTheme="majorHAnsi" w:cstheme="majorHAnsi"/>
          <w:sz w:val="22"/>
          <w:szCs w:val="22"/>
        </w:rPr>
        <w:t>The inventory has been performed</w:t>
      </w:r>
      <w:r w:rsidR="00E75893" w:rsidRPr="00862EEC">
        <w:rPr>
          <w:rFonts w:asciiTheme="majorHAnsi" w:hAnsiTheme="majorHAnsi" w:cstheme="majorHAnsi"/>
          <w:sz w:val="22"/>
          <w:szCs w:val="22"/>
        </w:rPr>
        <w:t xml:space="preserve"> by</w:t>
      </w:r>
      <w:r w:rsidR="00E75893" w:rsidRPr="00862EEC">
        <w:rPr>
          <w:rFonts w:asciiTheme="majorHAnsi" w:hAnsiTheme="majorHAnsi" w:cstheme="majorHAnsi"/>
          <w:sz w:val="22"/>
          <w:szCs w:val="22"/>
        </w:rPr>
        <w:t xml:space="preserve"> the</w:t>
      </w:r>
      <w:r w:rsidR="002E0ED3">
        <w:rPr>
          <w:rFonts w:asciiTheme="majorHAnsi" w:hAnsiTheme="majorHAnsi" w:cstheme="majorHAnsi"/>
          <w:sz w:val="22"/>
          <w:szCs w:val="22"/>
        </w:rPr>
        <w:t xml:space="preserve"> use of the</w:t>
      </w:r>
      <w:r w:rsidR="00E75893" w:rsidRPr="00862EEC">
        <w:rPr>
          <w:rFonts w:asciiTheme="majorHAnsi" w:hAnsiTheme="majorHAnsi" w:cstheme="majorHAnsi"/>
          <w:sz w:val="22"/>
          <w:szCs w:val="22"/>
        </w:rPr>
        <w:t xml:space="preserve"> </w:t>
      </w:r>
      <w:r w:rsidR="002E0ED3">
        <w:rPr>
          <w:rFonts w:asciiTheme="majorHAnsi" w:hAnsiTheme="majorHAnsi" w:cstheme="majorHAnsi"/>
          <w:sz w:val="22"/>
          <w:szCs w:val="22"/>
        </w:rPr>
        <w:t>platform</w:t>
      </w:r>
      <w:r w:rsidR="00E75893" w:rsidRPr="00862EEC">
        <w:rPr>
          <w:rFonts w:asciiTheme="majorHAnsi" w:hAnsiTheme="majorHAnsi" w:cstheme="majorHAnsi"/>
          <w:sz w:val="22"/>
          <w:szCs w:val="22"/>
        </w:rPr>
        <w:t xml:space="preserve"> </w:t>
      </w:r>
      <w:proofErr w:type="spellStart"/>
      <w:r w:rsidR="00E75893" w:rsidRPr="00862EEC">
        <w:rPr>
          <w:rFonts w:asciiTheme="majorHAnsi" w:hAnsiTheme="majorHAnsi" w:cstheme="majorHAnsi"/>
          <w:sz w:val="22"/>
          <w:szCs w:val="22"/>
        </w:rPr>
        <w:t>Klimakompasset</w:t>
      </w:r>
      <w:proofErr w:type="spellEnd"/>
      <w:r w:rsidR="00E75893" w:rsidRPr="00862EEC">
        <w:rPr>
          <w:rFonts w:asciiTheme="majorHAnsi" w:hAnsiTheme="majorHAnsi" w:cstheme="majorHAnsi"/>
          <w:sz w:val="22"/>
          <w:szCs w:val="22"/>
        </w:rPr>
        <w:t xml:space="preserve"> -</w:t>
      </w:r>
      <w:r w:rsidR="00862EEC" w:rsidRPr="00862EEC">
        <w:rPr>
          <w:rFonts w:asciiTheme="majorHAnsi" w:hAnsiTheme="majorHAnsi" w:cstheme="majorHAnsi"/>
          <w:sz w:val="22"/>
          <w:szCs w:val="22"/>
        </w:rPr>
        <w:t xml:space="preserve"> </w:t>
      </w:r>
      <w:r w:rsidR="00E75893" w:rsidRPr="00862EEC">
        <w:rPr>
          <w:rFonts w:asciiTheme="majorHAnsi" w:hAnsiTheme="majorHAnsi" w:cstheme="majorHAnsi"/>
          <w:sz w:val="22"/>
          <w:szCs w:val="22"/>
        </w:rPr>
        <w:t>a tool created by the</w:t>
      </w:r>
      <w:r w:rsidR="00862EEC" w:rsidRPr="00862EEC">
        <w:rPr>
          <w:rFonts w:asciiTheme="majorHAnsi" w:hAnsiTheme="majorHAnsi" w:cstheme="majorHAnsi"/>
          <w:sz w:val="22"/>
          <w:szCs w:val="22"/>
        </w:rPr>
        <w:t xml:space="preserve"> Danish Business Authority</w:t>
      </w:r>
      <w:r w:rsidR="00862EEC" w:rsidRPr="00862EEC">
        <w:rPr>
          <w:rFonts w:asciiTheme="majorHAnsi" w:hAnsiTheme="majorHAnsi" w:cstheme="majorHAnsi"/>
          <w:sz w:val="22"/>
          <w:szCs w:val="22"/>
        </w:rPr>
        <w:t xml:space="preserve"> </w:t>
      </w:r>
      <w:r w:rsidR="00E75893" w:rsidRPr="00862EEC">
        <w:rPr>
          <w:rFonts w:asciiTheme="majorHAnsi" w:hAnsiTheme="majorHAnsi" w:cstheme="majorHAnsi"/>
          <w:sz w:val="22"/>
          <w:szCs w:val="22"/>
        </w:rPr>
        <w:t xml:space="preserve">in collaboration with the </w:t>
      </w:r>
      <w:r w:rsidR="00862EEC" w:rsidRPr="00862EEC">
        <w:rPr>
          <w:rFonts w:asciiTheme="majorHAnsi" w:hAnsiTheme="majorHAnsi" w:cstheme="majorHAnsi"/>
          <w:sz w:val="22"/>
          <w:szCs w:val="22"/>
        </w:rPr>
        <w:t>the Danish Energy Agency</w:t>
      </w:r>
      <w:r w:rsidR="00E75893" w:rsidRPr="00862EEC">
        <w:rPr>
          <w:rFonts w:asciiTheme="majorHAnsi" w:hAnsiTheme="majorHAnsi" w:cstheme="majorHAnsi"/>
          <w:sz w:val="22"/>
          <w:szCs w:val="22"/>
        </w:rPr>
        <w:t>.</w:t>
      </w:r>
      <w:r w:rsidR="00862EEC" w:rsidRPr="00862EEC">
        <w:rPr>
          <w:rFonts w:asciiTheme="majorHAnsi" w:hAnsiTheme="majorHAnsi" w:cstheme="majorHAnsi"/>
          <w:sz w:val="22"/>
          <w:szCs w:val="22"/>
        </w:rPr>
        <w:t xml:space="preserve"> </w:t>
      </w:r>
      <w:r w:rsidR="00E75893" w:rsidRPr="00862EEC">
        <w:rPr>
          <w:rFonts w:asciiTheme="majorHAnsi" w:hAnsiTheme="majorHAnsi" w:cstheme="majorHAnsi"/>
          <w:sz w:val="22"/>
          <w:szCs w:val="22"/>
        </w:rPr>
        <w:t xml:space="preserve"> </w:t>
      </w:r>
      <w:proofErr w:type="spellStart"/>
      <w:r w:rsidRPr="00862EEC">
        <w:rPr>
          <w:rFonts w:asciiTheme="majorHAnsi" w:hAnsiTheme="majorHAnsi" w:cstheme="majorHAnsi"/>
          <w:sz w:val="22"/>
          <w:szCs w:val="22"/>
        </w:rPr>
        <w:t>Klimakompasset</w:t>
      </w:r>
      <w:proofErr w:type="spellEnd"/>
      <w:r w:rsidRPr="00862EEC">
        <w:rPr>
          <w:rFonts w:asciiTheme="majorHAnsi" w:hAnsiTheme="majorHAnsi" w:cstheme="majorHAnsi"/>
          <w:sz w:val="22"/>
          <w:szCs w:val="22"/>
        </w:rPr>
        <w:t xml:space="preserve"> is based on the principles of the GHG Protocol, which is the global standard for GHG accounting.</w:t>
      </w:r>
    </w:p>
    <w:p w14:paraId="07B35B86" w14:textId="77777777" w:rsidR="0057176F" w:rsidRDefault="0057176F" w:rsidP="0028554D">
      <w:pPr>
        <w:jc w:val="both"/>
        <w:rPr>
          <w:rFonts w:asciiTheme="majorHAnsi" w:hAnsiTheme="majorHAnsi" w:cstheme="majorHAnsi"/>
          <w:color w:val="0070C0"/>
          <w:sz w:val="22"/>
          <w:szCs w:val="22"/>
        </w:rPr>
      </w:pPr>
    </w:p>
    <w:p w14:paraId="0A6F243D" w14:textId="4B52C82E" w:rsidR="0028554D" w:rsidRPr="0028554D" w:rsidRDefault="001A76A9" w:rsidP="001A76A9">
      <w:pPr>
        <w:pStyle w:val="Heading2"/>
        <w:rPr>
          <w:color w:val="auto"/>
        </w:rPr>
      </w:pPr>
      <w:bookmarkStart w:id="1" w:name="_Toc164244125"/>
      <w:r>
        <w:rPr>
          <w:color w:val="auto"/>
        </w:rPr>
        <w:t xml:space="preserve">1. </w:t>
      </w:r>
      <w:r w:rsidR="0028554D" w:rsidRPr="0028554D">
        <w:rPr>
          <w:color w:val="auto"/>
        </w:rPr>
        <w:t xml:space="preserve">The </w:t>
      </w:r>
      <w:bookmarkStart w:id="2" w:name="_Hlk164165767"/>
      <w:r w:rsidR="0028554D" w:rsidRPr="0028554D">
        <w:rPr>
          <w:color w:val="auto"/>
        </w:rPr>
        <w:t xml:space="preserve">Greenhouse Gas </w:t>
      </w:r>
      <w:bookmarkEnd w:id="2"/>
      <w:r w:rsidR="0028554D" w:rsidRPr="0028554D">
        <w:rPr>
          <w:color w:val="auto"/>
        </w:rPr>
        <w:t>Protocol</w:t>
      </w:r>
      <w:bookmarkEnd w:id="1"/>
      <w:r w:rsidR="0028554D" w:rsidRPr="0028554D">
        <w:rPr>
          <w:color w:val="auto"/>
        </w:rPr>
        <w:t xml:space="preserve"> </w:t>
      </w:r>
    </w:p>
    <w:p w14:paraId="64CDDBF9" w14:textId="77777777" w:rsidR="0028554D" w:rsidRPr="0028554D" w:rsidRDefault="0028554D" w:rsidP="0028554D">
      <w:pPr>
        <w:spacing w:line="276" w:lineRule="auto"/>
        <w:jc w:val="both"/>
        <w:rPr>
          <w:rFonts w:asciiTheme="majorHAnsi" w:hAnsiTheme="majorHAnsi" w:cstheme="majorHAnsi"/>
          <w:sz w:val="22"/>
          <w:szCs w:val="22"/>
        </w:rPr>
      </w:pPr>
    </w:p>
    <w:p w14:paraId="487CD8EA" w14:textId="550400B4" w:rsidR="0028554D" w:rsidRPr="0028554D" w:rsidRDefault="0028554D" w:rsidP="0028554D">
      <w:pPr>
        <w:spacing w:line="276" w:lineRule="auto"/>
        <w:jc w:val="both"/>
        <w:rPr>
          <w:rFonts w:asciiTheme="majorHAnsi" w:hAnsiTheme="majorHAnsi" w:cstheme="majorHAnsi"/>
          <w:sz w:val="22"/>
          <w:szCs w:val="22"/>
        </w:rPr>
      </w:pPr>
      <w:r w:rsidRPr="0028554D">
        <w:rPr>
          <w:rFonts w:asciiTheme="majorHAnsi" w:hAnsiTheme="majorHAnsi" w:cstheme="majorHAnsi"/>
          <w:sz w:val="22"/>
          <w:szCs w:val="22"/>
        </w:rPr>
        <w:lastRenderedPageBreak/>
        <w:t xml:space="preserve">The GHG Protocol is an extensive and global standard that provides guidance on how to manage and account for emissions of greenhouse gasses (GHGs) in public </w:t>
      </w:r>
      <w:r w:rsidRPr="0028554D">
        <w:rPr>
          <w:rFonts w:asciiTheme="majorHAnsi" w:hAnsiTheme="majorHAnsi" w:cstheme="majorHAnsi"/>
          <w:i/>
          <w:sz w:val="22"/>
          <w:szCs w:val="22"/>
        </w:rPr>
        <w:t xml:space="preserve">and </w:t>
      </w:r>
      <w:r w:rsidRPr="0028554D">
        <w:rPr>
          <w:rFonts w:asciiTheme="majorHAnsi" w:hAnsiTheme="majorHAnsi" w:cstheme="majorHAnsi"/>
          <w:sz w:val="22"/>
          <w:szCs w:val="22"/>
        </w:rPr>
        <w:t>private sectors. The GHG protocol includes emission from own activities (scope 1 and 2), emission from value chains (scope 3), as well as potential mitigating measures.</w:t>
      </w:r>
    </w:p>
    <w:p w14:paraId="789A73B4" w14:textId="77777777" w:rsidR="0028554D" w:rsidRPr="0028554D" w:rsidRDefault="0028554D" w:rsidP="0028554D">
      <w:pPr>
        <w:spacing w:line="276" w:lineRule="auto"/>
        <w:jc w:val="both"/>
        <w:rPr>
          <w:rFonts w:asciiTheme="majorHAnsi" w:hAnsiTheme="majorHAnsi" w:cstheme="majorHAnsi"/>
          <w:sz w:val="22"/>
          <w:szCs w:val="22"/>
        </w:rPr>
      </w:pPr>
    </w:p>
    <w:p w14:paraId="5855B368" w14:textId="77777777" w:rsidR="0028554D" w:rsidRPr="0028554D" w:rsidRDefault="0028554D" w:rsidP="0028554D">
      <w:pPr>
        <w:pStyle w:val="ListParagraph"/>
        <w:numPr>
          <w:ilvl w:val="0"/>
          <w:numId w:val="12"/>
        </w:numPr>
        <w:spacing w:line="276" w:lineRule="auto"/>
        <w:ind w:left="714" w:hanging="357"/>
        <w:jc w:val="both"/>
        <w:rPr>
          <w:rFonts w:asciiTheme="majorHAnsi" w:hAnsiTheme="majorHAnsi" w:cstheme="majorHAnsi"/>
          <w:sz w:val="22"/>
          <w:szCs w:val="22"/>
        </w:rPr>
      </w:pPr>
      <w:r w:rsidRPr="0028554D">
        <w:rPr>
          <w:rFonts w:asciiTheme="majorHAnsi" w:hAnsiTheme="majorHAnsi" w:cstheme="majorHAnsi"/>
          <w:i/>
          <w:iCs/>
          <w:sz w:val="22"/>
          <w:szCs w:val="22"/>
        </w:rPr>
        <w:t>Scope 1</w:t>
      </w:r>
      <w:r w:rsidRPr="0028554D">
        <w:rPr>
          <w:rFonts w:asciiTheme="majorHAnsi" w:hAnsiTheme="majorHAnsi" w:cstheme="majorHAnsi"/>
          <w:sz w:val="22"/>
          <w:szCs w:val="22"/>
        </w:rPr>
        <w:t>: Includes direct emissions generated from the company’s own activities i.e., from its own localities and assets (e.g., emissions from combustion of diesel, petrol and gas).</w:t>
      </w:r>
    </w:p>
    <w:p w14:paraId="6AD06FB9" w14:textId="77777777" w:rsidR="0028554D" w:rsidRPr="0028554D" w:rsidRDefault="0028554D" w:rsidP="0028554D">
      <w:pPr>
        <w:spacing w:line="276" w:lineRule="auto"/>
        <w:jc w:val="both"/>
        <w:rPr>
          <w:rFonts w:asciiTheme="majorHAnsi" w:hAnsiTheme="majorHAnsi" w:cstheme="majorHAnsi"/>
          <w:sz w:val="22"/>
          <w:szCs w:val="22"/>
        </w:rPr>
      </w:pPr>
      <w:r w:rsidRPr="0028554D">
        <w:rPr>
          <w:rFonts w:asciiTheme="majorHAnsi" w:hAnsiTheme="majorHAnsi" w:cstheme="majorHAnsi"/>
          <w:sz w:val="22"/>
          <w:szCs w:val="22"/>
        </w:rPr>
        <w:t xml:space="preserve"> </w:t>
      </w:r>
    </w:p>
    <w:p w14:paraId="595B0F55" w14:textId="77777777" w:rsidR="0028554D" w:rsidRPr="0028554D" w:rsidRDefault="0028554D" w:rsidP="0028554D">
      <w:pPr>
        <w:pStyle w:val="ListParagraph"/>
        <w:numPr>
          <w:ilvl w:val="0"/>
          <w:numId w:val="12"/>
        </w:numPr>
        <w:spacing w:line="276" w:lineRule="auto"/>
        <w:ind w:left="714" w:hanging="357"/>
        <w:jc w:val="both"/>
        <w:rPr>
          <w:rFonts w:asciiTheme="majorHAnsi" w:hAnsiTheme="majorHAnsi" w:cstheme="majorHAnsi"/>
          <w:sz w:val="22"/>
          <w:szCs w:val="22"/>
        </w:rPr>
      </w:pPr>
      <w:r w:rsidRPr="0028554D">
        <w:rPr>
          <w:rFonts w:asciiTheme="majorHAnsi" w:hAnsiTheme="majorHAnsi" w:cstheme="majorHAnsi"/>
          <w:i/>
          <w:iCs/>
          <w:sz w:val="22"/>
          <w:szCs w:val="22"/>
        </w:rPr>
        <w:t>Scope 2</w:t>
      </w:r>
      <w:r w:rsidRPr="0028554D">
        <w:rPr>
          <w:rFonts w:asciiTheme="majorHAnsi" w:hAnsiTheme="majorHAnsi" w:cstheme="majorHAnsi"/>
          <w:sz w:val="22"/>
          <w:szCs w:val="22"/>
        </w:rPr>
        <w:t xml:space="preserve">: Includes the indirect emissions released from the production of externally produced energy used by the company for its operations (e.g., energy purchased from electricity provider or district heating). </w:t>
      </w:r>
    </w:p>
    <w:p w14:paraId="156804ED" w14:textId="77777777" w:rsidR="0028554D" w:rsidRPr="0028554D" w:rsidRDefault="0028554D" w:rsidP="0028554D">
      <w:pPr>
        <w:pStyle w:val="ListParagraph"/>
        <w:spacing w:line="276" w:lineRule="auto"/>
        <w:jc w:val="both"/>
        <w:rPr>
          <w:rFonts w:asciiTheme="majorHAnsi" w:hAnsiTheme="majorHAnsi" w:cstheme="majorHAnsi"/>
          <w:sz w:val="22"/>
          <w:szCs w:val="22"/>
        </w:rPr>
      </w:pPr>
    </w:p>
    <w:p w14:paraId="76A4D4C8" w14:textId="43713BA6" w:rsidR="0028554D" w:rsidRPr="001A76A9" w:rsidRDefault="0028554D" w:rsidP="0028554D">
      <w:pPr>
        <w:pStyle w:val="ListParagraph"/>
        <w:numPr>
          <w:ilvl w:val="0"/>
          <w:numId w:val="12"/>
        </w:numPr>
        <w:spacing w:after="120" w:line="276" w:lineRule="auto"/>
        <w:jc w:val="both"/>
        <w:rPr>
          <w:rFonts w:asciiTheme="majorHAnsi" w:hAnsiTheme="majorHAnsi" w:cstheme="majorHAnsi"/>
          <w:sz w:val="22"/>
          <w:szCs w:val="22"/>
        </w:rPr>
      </w:pPr>
      <w:r w:rsidRPr="0028554D">
        <w:rPr>
          <w:rFonts w:asciiTheme="majorHAnsi" w:hAnsiTheme="majorHAnsi" w:cstheme="majorHAnsi"/>
          <w:i/>
          <w:iCs/>
          <w:sz w:val="22"/>
          <w:szCs w:val="22"/>
        </w:rPr>
        <w:t>Scope 3</w:t>
      </w:r>
      <w:r w:rsidRPr="0028554D">
        <w:rPr>
          <w:rFonts w:asciiTheme="majorHAnsi" w:hAnsiTheme="majorHAnsi" w:cstheme="majorHAnsi"/>
          <w:sz w:val="22"/>
          <w:szCs w:val="22"/>
        </w:rPr>
        <w:t>: Includes indirect emissions from the value chain in which the company participates (</w:t>
      </w:r>
      <w:proofErr w:type="spellStart"/>
      <w:r w:rsidRPr="0028554D">
        <w:rPr>
          <w:rFonts w:asciiTheme="majorHAnsi" w:hAnsiTheme="majorHAnsi" w:cstheme="majorHAnsi"/>
          <w:sz w:val="22"/>
          <w:szCs w:val="22"/>
        </w:rPr>
        <w:t>e.g</w:t>
      </w:r>
      <w:proofErr w:type="spellEnd"/>
      <w:r w:rsidRPr="0028554D">
        <w:rPr>
          <w:rFonts w:asciiTheme="majorHAnsi" w:hAnsiTheme="majorHAnsi" w:cstheme="majorHAnsi"/>
          <w:sz w:val="22"/>
          <w:szCs w:val="22"/>
        </w:rPr>
        <w:t xml:space="preserve">, emissions from procurements of goods and services, employee commuting and business travels, and transport of materials and goods) </w:t>
      </w:r>
    </w:p>
    <w:p w14:paraId="4B41EF01" w14:textId="74D10185" w:rsidR="001A76A9" w:rsidRPr="00862EEC" w:rsidRDefault="003B09DE" w:rsidP="003B09DE">
      <w:pPr>
        <w:pStyle w:val="Heading2"/>
        <w:rPr>
          <w:color w:val="auto"/>
        </w:rPr>
      </w:pPr>
      <w:bookmarkStart w:id="3" w:name="_Toc164244126"/>
      <w:r w:rsidRPr="00862EEC">
        <w:rPr>
          <w:color w:val="auto"/>
        </w:rPr>
        <w:t xml:space="preserve">2. </w:t>
      </w:r>
      <w:r w:rsidR="001A76A9" w:rsidRPr="00862EEC">
        <w:rPr>
          <w:color w:val="auto"/>
        </w:rPr>
        <w:t>Organizational mapping</w:t>
      </w:r>
      <w:bookmarkEnd w:id="3"/>
    </w:p>
    <w:p w14:paraId="6034D10F" w14:textId="77777777" w:rsidR="003B09DE" w:rsidRPr="00862EEC" w:rsidRDefault="003B09DE" w:rsidP="003B09DE"/>
    <w:p w14:paraId="3B7AD84C" w14:textId="77777777" w:rsidR="001A76A9" w:rsidRPr="00862EEC" w:rsidRDefault="001A76A9" w:rsidP="003B09DE">
      <w:pPr>
        <w:spacing w:line="276" w:lineRule="auto"/>
        <w:jc w:val="both"/>
        <w:rPr>
          <w:rFonts w:asciiTheme="majorHAnsi" w:hAnsiTheme="majorHAnsi" w:cstheme="majorHAnsi"/>
          <w:sz w:val="22"/>
          <w:szCs w:val="22"/>
        </w:rPr>
      </w:pPr>
      <w:r w:rsidRPr="00862EEC">
        <w:rPr>
          <w:rFonts w:asciiTheme="majorHAnsi" w:hAnsiTheme="majorHAnsi" w:cstheme="majorHAnsi"/>
          <w:sz w:val="22"/>
          <w:szCs w:val="22"/>
        </w:rPr>
        <w:t xml:space="preserve">When reporting following the GHG protocol the first step is to determine the organizational boundaries within which to scope the reporting. These can take the form of equity share approach (where you include entities based on your share of equity) or control approach (where you report on operations over which you have control). Since </w:t>
      </w:r>
      <w:proofErr w:type="spellStart"/>
      <w:r w:rsidRPr="00862EEC">
        <w:rPr>
          <w:rFonts w:asciiTheme="majorHAnsi" w:hAnsiTheme="majorHAnsi" w:cstheme="majorHAnsi"/>
          <w:sz w:val="22"/>
          <w:szCs w:val="22"/>
        </w:rPr>
        <w:t>ProCon</w:t>
      </w:r>
      <w:proofErr w:type="spellEnd"/>
      <w:r w:rsidRPr="00862EEC">
        <w:rPr>
          <w:rFonts w:asciiTheme="majorHAnsi" w:hAnsiTheme="majorHAnsi" w:cstheme="majorHAnsi"/>
          <w:sz w:val="22"/>
          <w:szCs w:val="22"/>
        </w:rPr>
        <w:t xml:space="preserve"> both owns and control all entities included in the present inventory both the </w:t>
      </w:r>
      <w:r w:rsidRPr="00862EEC">
        <w:rPr>
          <w:rFonts w:asciiTheme="majorHAnsi" w:hAnsiTheme="majorHAnsi" w:cstheme="majorHAnsi"/>
          <w:i/>
          <w:sz w:val="22"/>
          <w:szCs w:val="22"/>
        </w:rPr>
        <w:t xml:space="preserve">equity share approach </w:t>
      </w:r>
      <w:r w:rsidRPr="00862EEC">
        <w:rPr>
          <w:rFonts w:asciiTheme="majorHAnsi" w:hAnsiTheme="majorHAnsi" w:cstheme="majorHAnsi"/>
          <w:sz w:val="22"/>
          <w:szCs w:val="22"/>
        </w:rPr>
        <w:t xml:space="preserve">and the </w:t>
      </w:r>
      <w:r w:rsidRPr="00862EEC">
        <w:rPr>
          <w:rFonts w:asciiTheme="majorHAnsi" w:hAnsiTheme="majorHAnsi" w:cstheme="majorHAnsi"/>
          <w:i/>
          <w:sz w:val="22"/>
          <w:szCs w:val="22"/>
        </w:rPr>
        <w:t xml:space="preserve">control approach </w:t>
      </w:r>
      <w:r w:rsidRPr="00862EEC">
        <w:rPr>
          <w:rFonts w:asciiTheme="majorHAnsi" w:hAnsiTheme="majorHAnsi" w:cstheme="majorHAnsi"/>
          <w:sz w:val="22"/>
          <w:szCs w:val="22"/>
        </w:rPr>
        <w:t xml:space="preserve">have been applied (in accordance with the GHG Protocol). </w:t>
      </w:r>
    </w:p>
    <w:p w14:paraId="72C8BAC4" w14:textId="77777777" w:rsidR="001A76A9" w:rsidRPr="00862EEC" w:rsidRDefault="001A76A9" w:rsidP="001A76A9">
      <w:pPr>
        <w:spacing w:line="276" w:lineRule="auto"/>
        <w:jc w:val="both"/>
        <w:rPr>
          <w:rFonts w:asciiTheme="majorHAnsi" w:hAnsiTheme="majorHAnsi" w:cstheme="majorHAnsi"/>
          <w:sz w:val="22"/>
          <w:szCs w:val="22"/>
        </w:rPr>
      </w:pPr>
    </w:p>
    <w:p w14:paraId="0BF3DBAD" w14:textId="225828E6" w:rsidR="001A76A9" w:rsidRPr="00862EEC" w:rsidRDefault="001A76A9" w:rsidP="00862EEC">
      <w:pPr>
        <w:spacing w:line="276" w:lineRule="auto"/>
        <w:jc w:val="both"/>
        <w:rPr>
          <w:rFonts w:asciiTheme="majorHAnsi" w:hAnsiTheme="majorHAnsi" w:cstheme="majorHAnsi"/>
          <w:sz w:val="22"/>
          <w:szCs w:val="22"/>
        </w:rPr>
      </w:pPr>
      <w:r w:rsidRPr="00862EEC">
        <w:rPr>
          <w:rFonts w:asciiTheme="majorHAnsi" w:hAnsiTheme="majorHAnsi" w:cstheme="majorHAnsi"/>
          <w:sz w:val="22"/>
          <w:szCs w:val="22"/>
        </w:rPr>
        <w:t xml:space="preserve">The company consists of multiple subsidiaries under </w:t>
      </w:r>
      <w:proofErr w:type="spellStart"/>
      <w:r w:rsidRPr="00862EEC">
        <w:rPr>
          <w:rFonts w:asciiTheme="majorHAnsi" w:hAnsiTheme="majorHAnsi" w:cstheme="majorHAnsi"/>
          <w:sz w:val="22"/>
          <w:szCs w:val="22"/>
        </w:rPr>
        <w:t>ProCon</w:t>
      </w:r>
      <w:proofErr w:type="spellEnd"/>
      <w:r w:rsidRPr="00862EEC">
        <w:rPr>
          <w:rFonts w:asciiTheme="majorHAnsi" w:hAnsiTheme="majorHAnsi" w:cstheme="majorHAnsi"/>
          <w:sz w:val="22"/>
          <w:szCs w:val="22"/>
        </w:rPr>
        <w:t xml:space="preserve"> Group and is headquartered in Denmark with operations in three Danish offices (in the cities of Aalborg, Aarhus, and Esbjerg). Additionally, </w:t>
      </w:r>
      <w:proofErr w:type="spellStart"/>
      <w:r w:rsidRPr="00862EEC">
        <w:rPr>
          <w:rFonts w:asciiTheme="majorHAnsi" w:hAnsiTheme="majorHAnsi" w:cstheme="majorHAnsi"/>
          <w:sz w:val="22"/>
          <w:szCs w:val="22"/>
        </w:rPr>
        <w:t>ProCon</w:t>
      </w:r>
      <w:proofErr w:type="spellEnd"/>
      <w:r w:rsidRPr="00862EEC">
        <w:rPr>
          <w:rFonts w:asciiTheme="majorHAnsi" w:hAnsiTheme="majorHAnsi" w:cstheme="majorHAnsi"/>
          <w:sz w:val="22"/>
          <w:szCs w:val="22"/>
        </w:rPr>
        <w:t xml:space="preserve"> has an office incl. staff in Taiwan and UK to manage local projects. Further international representation with company registrations in Germany (DE), Poland (PL)</w:t>
      </w:r>
      <w:r w:rsidR="00856FFA" w:rsidRPr="00862EEC">
        <w:rPr>
          <w:rFonts w:asciiTheme="majorHAnsi" w:hAnsiTheme="majorHAnsi" w:cstheme="majorHAnsi"/>
          <w:sz w:val="22"/>
          <w:szCs w:val="22"/>
        </w:rPr>
        <w:t>,</w:t>
      </w:r>
      <w:r w:rsidRPr="00862EEC">
        <w:rPr>
          <w:rFonts w:asciiTheme="majorHAnsi" w:hAnsiTheme="majorHAnsi" w:cstheme="majorHAnsi"/>
          <w:sz w:val="22"/>
          <w:szCs w:val="22"/>
        </w:rPr>
        <w:t xml:space="preserve"> the US (US)</w:t>
      </w:r>
      <w:r w:rsidR="00856FFA" w:rsidRPr="00862EEC">
        <w:rPr>
          <w:rFonts w:asciiTheme="majorHAnsi" w:hAnsiTheme="majorHAnsi" w:cstheme="majorHAnsi"/>
          <w:sz w:val="22"/>
          <w:szCs w:val="22"/>
        </w:rPr>
        <w:t xml:space="preserve"> and </w:t>
      </w:r>
      <w:proofErr w:type="spellStart"/>
      <w:r w:rsidR="00856FFA" w:rsidRPr="00862EEC">
        <w:rPr>
          <w:rFonts w:asciiTheme="majorHAnsi" w:hAnsiTheme="majorHAnsi" w:cstheme="majorHAnsi"/>
          <w:sz w:val="22"/>
          <w:szCs w:val="22"/>
        </w:rPr>
        <w:t>ProCon</w:t>
      </w:r>
      <w:proofErr w:type="spellEnd"/>
      <w:r w:rsidR="00856FFA" w:rsidRPr="00862EEC">
        <w:rPr>
          <w:rFonts w:asciiTheme="majorHAnsi" w:hAnsiTheme="majorHAnsi" w:cstheme="majorHAnsi"/>
          <w:sz w:val="22"/>
          <w:szCs w:val="22"/>
        </w:rPr>
        <w:t xml:space="preserve"> Technic (DK) </w:t>
      </w:r>
      <w:r w:rsidRPr="00862EEC">
        <w:rPr>
          <w:rFonts w:asciiTheme="majorHAnsi" w:hAnsiTheme="majorHAnsi" w:cstheme="majorHAnsi"/>
          <w:sz w:val="22"/>
          <w:szCs w:val="22"/>
        </w:rPr>
        <w:t xml:space="preserve">from which no significantly emitting activities have been performed in 2023. </w:t>
      </w:r>
    </w:p>
    <w:p w14:paraId="253F4308" w14:textId="3CDEB6A9" w:rsidR="001A76A9" w:rsidRPr="004832B3" w:rsidRDefault="001A76A9" w:rsidP="001A76A9">
      <w:pPr>
        <w:keepNext/>
        <w:jc w:val="center"/>
        <w:rPr>
          <w:color w:val="FF0000"/>
        </w:rPr>
      </w:pPr>
    </w:p>
    <w:p w14:paraId="72A4C549" w14:textId="760AFB35" w:rsidR="001A76A9" w:rsidRPr="004832B3" w:rsidRDefault="00935706" w:rsidP="00935706">
      <w:pPr>
        <w:spacing w:line="276" w:lineRule="auto"/>
        <w:jc w:val="center"/>
        <w:rPr>
          <w:rFonts w:asciiTheme="majorHAnsi" w:hAnsiTheme="majorHAnsi" w:cstheme="majorHAnsi"/>
          <w:color w:val="FF0000"/>
          <w:sz w:val="22"/>
          <w:szCs w:val="22"/>
        </w:rPr>
      </w:pPr>
      <w:r>
        <w:rPr>
          <w:noProof/>
        </w:rPr>
        <w:drawing>
          <wp:inline distT="0" distB="0" distL="0" distR="0" wp14:anchorId="290DB202" wp14:editId="285C0C1E">
            <wp:extent cx="5731510" cy="2620010"/>
            <wp:effectExtent l="0" t="0" r="2540" b="8890"/>
            <wp:docPr id="1488214551" name="Picture 1" descr="A group of white rectangular shap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214551" name="Picture 1" descr="A group of white rectangular shapes with black text&#10;&#10;Description automatically generated"/>
                    <pic:cNvPicPr/>
                  </pic:nvPicPr>
                  <pic:blipFill>
                    <a:blip r:embed="rId11"/>
                    <a:stretch>
                      <a:fillRect/>
                    </a:stretch>
                  </pic:blipFill>
                  <pic:spPr>
                    <a:xfrm>
                      <a:off x="0" y="0"/>
                      <a:ext cx="5731510" cy="2620010"/>
                    </a:xfrm>
                    <a:prstGeom prst="rect">
                      <a:avLst/>
                    </a:prstGeom>
                  </pic:spPr>
                </pic:pic>
              </a:graphicData>
            </a:graphic>
          </wp:inline>
        </w:drawing>
      </w:r>
    </w:p>
    <w:p w14:paraId="70263EA7" w14:textId="77777777" w:rsidR="00A07463" w:rsidRDefault="00A07463" w:rsidP="001A76A9">
      <w:pPr>
        <w:rPr>
          <w:color w:val="FF0000"/>
        </w:rPr>
      </w:pPr>
    </w:p>
    <w:p w14:paraId="4533170D" w14:textId="084E09E2" w:rsidR="00AB1A81" w:rsidRPr="00862EEC" w:rsidRDefault="00AB1A81" w:rsidP="00AB1A81">
      <w:pPr>
        <w:pStyle w:val="Caption"/>
        <w:jc w:val="center"/>
        <w:rPr>
          <w:color w:val="auto"/>
          <w:sz w:val="16"/>
          <w:szCs w:val="16"/>
          <w:lang w:val="en-GB"/>
        </w:rPr>
      </w:pPr>
      <w:r w:rsidRPr="00862EEC">
        <w:rPr>
          <w:color w:val="auto"/>
          <w:sz w:val="16"/>
          <w:szCs w:val="16"/>
          <w:lang w:val="en-GB"/>
        </w:rPr>
        <w:lastRenderedPageBreak/>
        <w:t xml:space="preserve">Figure </w:t>
      </w:r>
      <w:r w:rsidRPr="00862EEC">
        <w:rPr>
          <w:color w:val="auto"/>
          <w:sz w:val="16"/>
          <w:szCs w:val="16"/>
          <w:lang w:val="en-GB"/>
        </w:rPr>
        <w:fldChar w:fldCharType="begin"/>
      </w:r>
      <w:r w:rsidRPr="00862EEC">
        <w:rPr>
          <w:color w:val="auto"/>
          <w:sz w:val="16"/>
          <w:szCs w:val="16"/>
          <w:lang w:val="en-GB"/>
        </w:rPr>
        <w:instrText xml:space="preserve"> SEQ Figure \* ARABIC </w:instrText>
      </w:r>
      <w:r w:rsidRPr="00862EEC">
        <w:rPr>
          <w:color w:val="auto"/>
          <w:sz w:val="16"/>
          <w:szCs w:val="16"/>
          <w:lang w:val="en-GB"/>
        </w:rPr>
        <w:fldChar w:fldCharType="separate"/>
      </w:r>
      <w:r w:rsidRPr="00862EEC">
        <w:rPr>
          <w:noProof/>
          <w:color w:val="auto"/>
          <w:sz w:val="16"/>
          <w:szCs w:val="16"/>
          <w:lang w:val="en-GB"/>
        </w:rPr>
        <w:t>1</w:t>
      </w:r>
      <w:r w:rsidRPr="00862EEC">
        <w:rPr>
          <w:color w:val="auto"/>
          <w:sz w:val="16"/>
          <w:szCs w:val="16"/>
          <w:lang w:val="en-GB"/>
        </w:rPr>
        <w:fldChar w:fldCharType="end"/>
      </w:r>
      <w:r w:rsidRPr="00862EEC">
        <w:rPr>
          <w:color w:val="auto"/>
          <w:sz w:val="16"/>
          <w:szCs w:val="16"/>
          <w:lang w:val="en-GB"/>
        </w:rPr>
        <w:t xml:space="preserve"> - Organizational diagram</w:t>
      </w:r>
    </w:p>
    <w:p w14:paraId="5C8BC102" w14:textId="77777777" w:rsidR="000001C8" w:rsidRDefault="000001C8" w:rsidP="00AB1A81">
      <w:pPr>
        <w:jc w:val="center"/>
        <w:rPr>
          <w:color w:val="FF0000"/>
        </w:rPr>
      </w:pPr>
    </w:p>
    <w:p w14:paraId="65D2730F" w14:textId="77777777" w:rsidR="002E0ED3" w:rsidRDefault="002E0ED3">
      <w:pPr>
        <w:rPr>
          <w:rFonts w:asciiTheme="majorHAnsi" w:eastAsiaTheme="majorEastAsia" w:hAnsiTheme="majorHAnsi" w:cstheme="majorBidi"/>
          <w:sz w:val="26"/>
          <w:szCs w:val="26"/>
        </w:rPr>
      </w:pPr>
      <w:bookmarkStart w:id="4" w:name="_Toc164244127"/>
      <w:r>
        <w:br w:type="page"/>
      </w:r>
    </w:p>
    <w:p w14:paraId="6DA511D2" w14:textId="6993CAA8" w:rsidR="000001C8" w:rsidRPr="00AB1A81" w:rsidRDefault="00D626E5" w:rsidP="000001C8">
      <w:pPr>
        <w:pStyle w:val="Heading2"/>
        <w:rPr>
          <w:color w:val="auto"/>
          <w:lang w:val="en-GB"/>
        </w:rPr>
      </w:pPr>
      <w:r w:rsidRPr="00AB1A81">
        <w:rPr>
          <w:color w:val="auto"/>
          <w:lang w:val="en-GB"/>
        </w:rPr>
        <w:t>3</w:t>
      </w:r>
      <w:r w:rsidR="000001C8" w:rsidRPr="00AB1A81">
        <w:rPr>
          <w:color w:val="auto"/>
          <w:lang w:val="en-GB"/>
        </w:rPr>
        <w:t>. Data collection</w:t>
      </w:r>
      <w:bookmarkEnd w:id="4"/>
    </w:p>
    <w:p w14:paraId="628B3ED5" w14:textId="77777777" w:rsidR="00D626E5" w:rsidRPr="00AB1A81" w:rsidRDefault="00D626E5" w:rsidP="00D626E5">
      <w:pPr>
        <w:rPr>
          <w:lang w:val="en-GB"/>
        </w:rPr>
      </w:pPr>
    </w:p>
    <w:p w14:paraId="70A9A8B6" w14:textId="6E49999C" w:rsidR="000001C8" w:rsidRPr="00D626E5" w:rsidRDefault="00F87692" w:rsidP="00580118">
      <w:pPr>
        <w:spacing w:line="276" w:lineRule="auto"/>
        <w:rPr>
          <w:rFonts w:asciiTheme="majorHAnsi" w:hAnsiTheme="majorHAnsi" w:cstheme="majorHAnsi"/>
          <w:sz w:val="22"/>
          <w:szCs w:val="22"/>
          <w:lang w:val="en-GB"/>
        </w:rPr>
      </w:pPr>
      <w:r w:rsidRPr="00D626E5">
        <w:rPr>
          <w:rFonts w:asciiTheme="majorHAnsi" w:hAnsiTheme="majorHAnsi" w:cstheme="majorHAnsi"/>
          <w:sz w:val="22"/>
          <w:szCs w:val="22"/>
          <w:lang w:val="en-GB"/>
        </w:rPr>
        <w:t xml:space="preserve">Data collected for the 2023 GHG inventory consist of data from </w:t>
      </w:r>
      <w:proofErr w:type="spellStart"/>
      <w:r w:rsidRPr="00D626E5">
        <w:rPr>
          <w:rFonts w:asciiTheme="majorHAnsi" w:hAnsiTheme="majorHAnsi" w:cstheme="majorHAnsi"/>
          <w:sz w:val="22"/>
          <w:szCs w:val="22"/>
          <w:lang w:val="en-GB"/>
        </w:rPr>
        <w:t>ProCon</w:t>
      </w:r>
      <w:proofErr w:type="spellEnd"/>
      <w:r w:rsidRPr="00D626E5">
        <w:rPr>
          <w:rFonts w:asciiTheme="majorHAnsi" w:hAnsiTheme="majorHAnsi" w:cstheme="majorHAnsi"/>
          <w:sz w:val="22"/>
          <w:szCs w:val="22"/>
          <w:lang w:val="en-GB"/>
        </w:rPr>
        <w:t xml:space="preserve"> DK, </w:t>
      </w:r>
      <w:proofErr w:type="spellStart"/>
      <w:r w:rsidRPr="00D626E5">
        <w:rPr>
          <w:rFonts w:asciiTheme="majorHAnsi" w:hAnsiTheme="majorHAnsi" w:cstheme="majorHAnsi"/>
          <w:sz w:val="22"/>
          <w:szCs w:val="22"/>
          <w:lang w:val="en-GB"/>
        </w:rPr>
        <w:t>Procon</w:t>
      </w:r>
      <w:proofErr w:type="spellEnd"/>
      <w:r w:rsidRPr="00D626E5">
        <w:rPr>
          <w:rFonts w:asciiTheme="majorHAnsi" w:hAnsiTheme="majorHAnsi" w:cstheme="majorHAnsi"/>
          <w:sz w:val="22"/>
          <w:szCs w:val="22"/>
          <w:lang w:val="en-GB"/>
        </w:rPr>
        <w:t xml:space="preserve"> UK and </w:t>
      </w:r>
      <w:proofErr w:type="spellStart"/>
      <w:r w:rsidRPr="00D626E5">
        <w:rPr>
          <w:rFonts w:asciiTheme="majorHAnsi" w:hAnsiTheme="majorHAnsi" w:cstheme="majorHAnsi"/>
          <w:sz w:val="22"/>
          <w:szCs w:val="22"/>
          <w:lang w:val="en-GB"/>
        </w:rPr>
        <w:t>Procon</w:t>
      </w:r>
      <w:proofErr w:type="spellEnd"/>
      <w:r w:rsidRPr="00D626E5">
        <w:rPr>
          <w:rFonts w:asciiTheme="majorHAnsi" w:hAnsiTheme="majorHAnsi" w:cstheme="majorHAnsi"/>
          <w:sz w:val="22"/>
          <w:szCs w:val="22"/>
          <w:lang w:val="en-GB"/>
        </w:rPr>
        <w:t xml:space="preserve"> TW, as illustrated in figure 1</w:t>
      </w:r>
      <w:r w:rsidR="00935706">
        <w:rPr>
          <w:rFonts w:asciiTheme="majorHAnsi" w:hAnsiTheme="majorHAnsi" w:cstheme="majorHAnsi"/>
          <w:sz w:val="22"/>
          <w:szCs w:val="22"/>
          <w:lang w:val="en-GB"/>
        </w:rPr>
        <w:t>.</w:t>
      </w:r>
    </w:p>
    <w:p w14:paraId="6469CEF2" w14:textId="77777777" w:rsidR="00580118" w:rsidRPr="00F87692" w:rsidRDefault="00580118" w:rsidP="00580118">
      <w:pPr>
        <w:spacing w:line="276" w:lineRule="auto"/>
        <w:rPr>
          <w:rFonts w:asciiTheme="majorHAnsi" w:hAnsiTheme="majorHAnsi" w:cstheme="majorHAnsi"/>
          <w:b/>
          <w:color w:val="FF0000"/>
          <w:sz w:val="22"/>
          <w:szCs w:val="22"/>
          <w:lang w:val="en-GB"/>
        </w:rPr>
      </w:pPr>
    </w:p>
    <w:p w14:paraId="37BA3F09" w14:textId="03105ABC" w:rsidR="000001C8" w:rsidRPr="00580118" w:rsidRDefault="000001C8" w:rsidP="000001C8">
      <w:pPr>
        <w:spacing w:line="276" w:lineRule="auto"/>
        <w:jc w:val="both"/>
        <w:rPr>
          <w:rFonts w:asciiTheme="majorHAnsi" w:hAnsiTheme="majorHAnsi" w:cstheme="majorHAnsi"/>
          <w:sz w:val="22"/>
          <w:szCs w:val="22"/>
        </w:rPr>
      </w:pPr>
      <w:r w:rsidRPr="00580118">
        <w:rPr>
          <w:rFonts w:asciiTheme="majorHAnsi" w:hAnsiTheme="majorHAnsi" w:cstheme="majorHAnsi"/>
          <w:sz w:val="22"/>
          <w:szCs w:val="22"/>
        </w:rPr>
        <w:t>The input data used for the CO</w:t>
      </w:r>
      <w:r w:rsidR="002E0ED3">
        <w:rPr>
          <w:rFonts w:asciiTheme="majorHAnsi" w:hAnsiTheme="majorHAnsi" w:cstheme="majorHAnsi"/>
          <w:sz w:val="22"/>
          <w:szCs w:val="22"/>
        </w:rPr>
        <w:t>2e</w:t>
      </w:r>
      <w:r w:rsidRPr="00580118">
        <w:rPr>
          <w:rFonts w:asciiTheme="majorHAnsi" w:hAnsiTheme="majorHAnsi" w:cstheme="majorHAnsi"/>
          <w:sz w:val="22"/>
          <w:szCs w:val="22"/>
        </w:rPr>
        <w:t xml:space="preserve">-calculations comes from a variety of sources. The methodology followed a combination of the methods described in the GHG protocol. Table 1 presents four methods for collecting data and obtaining emission factors: </w:t>
      </w:r>
    </w:p>
    <w:p w14:paraId="7F110BEA" w14:textId="77777777" w:rsidR="000001C8" w:rsidRPr="00580118" w:rsidRDefault="000001C8" w:rsidP="000001C8">
      <w:pPr>
        <w:jc w:val="both"/>
        <w:rPr>
          <w:rFonts w:asciiTheme="majorHAnsi" w:hAnsiTheme="majorHAnsi" w:cstheme="majorHAnsi"/>
          <w:sz w:val="22"/>
          <w:szCs w:val="22"/>
        </w:rPr>
      </w:pPr>
      <w:r w:rsidRPr="00580118">
        <w:rPr>
          <w:rFonts w:asciiTheme="majorHAnsi" w:hAnsiTheme="majorHAnsi" w:cstheme="majorHAnsi"/>
          <w:sz w:val="22"/>
          <w:szCs w:val="22"/>
        </w:rPr>
        <w:t xml:space="preserve">   </w:t>
      </w:r>
    </w:p>
    <w:p w14:paraId="4C03136E" w14:textId="77777777" w:rsidR="000001C8" w:rsidRPr="00580118" w:rsidRDefault="000001C8" w:rsidP="000001C8">
      <w:pPr>
        <w:rPr>
          <w:rFonts w:asciiTheme="majorHAnsi" w:hAnsiTheme="majorHAnsi" w:cstheme="majorHAnsi"/>
          <w:sz w:val="22"/>
          <w:szCs w:val="22"/>
        </w:rPr>
      </w:pPr>
      <w:r w:rsidRPr="00580118">
        <w:rPr>
          <w:rFonts w:asciiTheme="majorHAnsi" w:hAnsiTheme="majorHAnsi" w:cstheme="majorHAnsi"/>
          <w:sz w:val="22"/>
          <w:szCs w:val="22"/>
        </w:rPr>
        <w:t xml:space="preserve">  </w:t>
      </w:r>
    </w:p>
    <w:tbl>
      <w:tblPr>
        <w:tblStyle w:val="PlainTable2"/>
        <w:tblW w:w="0" w:type="auto"/>
        <w:jc w:val="center"/>
        <w:tblLook w:val="04A0" w:firstRow="1" w:lastRow="0" w:firstColumn="1" w:lastColumn="0" w:noHBand="0" w:noVBand="1"/>
      </w:tblPr>
      <w:tblGrid>
        <w:gridCol w:w="7215"/>
      </w:tblGrid>
      <w:tr w:rsidR="00580118" w:rsidRPr="00580118" w14:paraId="7357AE4F" w14:textId="77777777" w:rsidTr="00CD670E">
        <w:trPr>
          <w:cnfStyle w:val="100000000000" w:firstRow="1" w:lastRow="0" w:firstColumn="0" w:lastColumn="0" w:oddVBand="0" w:evenVBand="0" w:oddHBand="0"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7215" w:type="dxa"/>
            <w:shd w:val="clear" w:color="auto" w:fill="C9C9C9" w:themeFill="accent3" w:themeFillTint="99"/>
            <w:vAlign w:val="center"/>
          </w:tcPr>
          <w:p w14:paraId="2D0D53E1" w14:textId="77777777" w:rsidR="000001C8" w:rsidRPr="00580118" w:rsidRDefault="000001C8" w:rsidP="00672A0D">
            <w:pPr>
              <w:jc w:val="center"/>
              <w:rPr>
                <w:rFonts w:asciiTheme="majorHAnsi" w:hAnsiTheme="majorHAnsi" w:cstheme="majorHAnsi"/>
                <w:sz w:val="20"/>
                <w:szCs w:val="20"/>
              </w:rPr>
            </w:pPr>
            <w:r w:rsidRPr="00580118">
              <w:rPr>
                <w:rFonts w:asciiTheme="majorHAnsi" w:hAnsiTheme="majorHAnsi" w:cstheme="majorHAnsi"/>
                <w:sz w:val="20"/>
                <w:szCs w:val="20"/>
              </w:rPr>
              <w:t>Data collection methods</w:t>
            </w:r>
          </w:p>
        </w:tc>
      </w:tr>
      <w:tr w:rsidR="00580118" w:rsidRPr="00580118" w14:paraId="3FB71222" w14:textId="77777777" w:rsidTr="00672A0D">
        <w:trPr>
          <w:cnfStyle w:val="000000100000" w:firstRow="0" w:lastRow="0" w:firstColumn="0" w:lastColumn="0" w:oddVBand="0" w:evenVBand="0" w:oddHBand="1" w:evenHBand="0" w:firstRowFirstColumn="0" w:firstRowLastColumn="0" w:lastRowFirstColumn="0" w:lastRowLastColumn="0"/>
          <w:trHeight w:val="717"/>
          <w:jc w:val="center"/>
        </w:trPr>
        <w:tc>
          <w:tcPr>
            <w:cnfStyle w:val="001000000000" w:firstRow="0" w:lastRow="0" w:firstColumn="1" w:lastColumn="0" w:oddVBand="0" w:evenVBand="0" w:oddHBand="0" w:evenHBand="0" w:firstRowFirstColumn="0" w:firstRowLastColumn="0" w:lastRowFirstColumn="0" w:lastRowLastColumn="0"/>
            <w:tcW w:w="7215" w:type="dxa"/>
            <w:vAlign w:val="center"/>
          </w:tcPr>
          <w:p w14:paraId="05C70929" w14:textId="77777777" w:rsidR="000001C8" w:rsidRPr="00580118" w:rsidRDefault="000001C8" w:rsidP="00672A0D">
            <w:pPr>
              <w:jc w:val="both"/>
              <w:rPr>
                <w:rFonts w:asciiTheme="majorHAnsi" w:hAnsiTheme="majorHAnsi" w:cstheme="majorHAnsi"/>
                <w:b w:val="0"/>
                <w:sz w:val="20"/>
                <w:szCs w:val="20"/>
              </w:rPr>
            </w:pPr>
            <w:r w:rsidRPr="00580118">
              <w:rPr>
                <w:rFonts w:asciiTheme="majorHAnsi" w:hAnsiTheme="majorHAnsi" w:cstheme="majorHAnsi"/>
                <w:sz w:val="20"/>
                <w:szCs w:val="20"/>
              </w:rPr>
              <w:t xml:space="preserve">Supplier-specific method: </w:t>
            </w:r>
            <w:r w:rsidRPr="00580118">
              <w:rPr>
                <w:rFonts w:asciiTheme="majorHAnsi" w:hAnsiTheme="majorHAnsi" w:cstheme="majorHAnsi"/>
                <w:b w:val="0"/>
                <w:sz w:val="20"/>
                <w:szCs w:val="20"/>
              </w:rPr>
              <w:t>Product-level cradle-to-gate GHG inventory data from goods and services suppliers (product-specific emission factor).</w:t>
            </w:r>
          </w:p>
        </w:tc>
      </w:tr>
      <w:tr w:rsidR="00580118" w:rsidRPr="00580118" w14:paraId="34E8B3DD" w14:textId="77777777" w:rsidTr="00672A0D">
        <w:trPr>
          <w:trHeight w:val="717"/>
          <w:jc w:val="center"/>
        </w:trPr>
        <w:tc>
          <w:tcPr>
            <w:cnfStyle w:val="001000000000" w:firstRow="0" w:lastRow="0" w:firstColumn="1" w:lastColumn="0" w:oddVBand="0" w:evenVBand="0" w:oddHBand="0" w:evenHBand="0" w:firstRowFirstColumn="0" w:firstRowLastColumn="0" w:lastRowFirstColumn="0" w:lastRowLastColumn="0"/>
            <w:tcW w:w="7215" w:type="dxa"/>
            <w:vAlign w:val="center"/>
          </w:tcPr>
          <w:p w14:paraId="6D3F6A94" w14:textId="77777777" w:rsidR="000001C8" w:rsidRPr="00580118" w:rsidRDefault="000001C8" w:rsidP="00672A0D">
            <w:pPr>
              <w:jc w:val="both"/>
              <w:rPr>
                <w:rFonts w:asciiTheme="majorHAnsi" w:hAnsiTheme="majorHAnsi" w:cstheme="majorHAnsi"/>
                <w:b w:val="0"/>
                <w:sz w:val="20"/>
                <w:szCs w:val="20"/>
              </w:rPr>
            </w:pPr>
            <w:r w:rsidRPr="00580118">
              <w:rPr>
                <w:rFonts w:asciiTheme="majorHAnsi" w:hAnsiTheme="majorHAnsi" w:cstheme="majorHAnsi"/>
                <w:sz w:val="20"/>
                <w:szCs w:val="20"/>
              </w:rPr>
              <w:t xml:space="preserve">Hybrid method: </w:t>
            </w:r>
            <w:r w:rsidRPr="00580118">
              <w:rPr>
                <w:rFonts w:asciiTheme="majorHAnsi" w:hAnsiTheme="majorHAnsi" w:cstheme="majorHAnsi"/>
                <w:b w:val="0"/>
                <w:sz w:val="20"/>
                <w:szCs w:val="20"/>
              </w:rPr>
              <w:t>Combines available supplier-specific data (such as product specific emission factors) with secondary data to fill in the gaps.</w:t>
            </w:r>
          </w:p>
        </w:tc>
      </w:tr>
      <w:tr w:rsidR="00580118" w:rsidRPr="00580118" w14:paraId="32C930C7" w14:textId="77777777" w:rsidTr="00672A0D">
        <w:trPr>
          <w:cnfStyle w:val="000000100000" w:firstRow="0" w:lastRow="0" w:firstColumn="0" w:lastColumn="0" w:oddVBand="0" w:evenVBand="0" w:oddHBand="1" w:evenHBand="0" w:firstRowFirstColumn="0" w:firstRowLastColumn="0" w:lastRowFirstColumn="0" w:lastRowLastColumn="0"/>
          <w:trHeight w:val="940"/>
          <w:jc w:val="center"/>
        </w:trPr>
        <w:tc>
          <w:tcPr>
            <w:cnfStyle w:val="001000000000" w:firstRow="0" w:lastRow="0" w:firstColumn="1" w:lastColumn="0" w:oddVBand="0" w:evenVBand="0" w:oddHBand="0" w:evenHBand="0" w:firstRowFirstColumn="0" w:firstRowLastColumn="0" w:lastRowFirstColumn="0" w:lastRowLastColumn="0"/>
            <w:tcW w:w="7215" w:type="dxa"/>
            <w:vAlign w:val="center"/>
          </w:tcPr>
          <w:p w14:paraId="5E49081D" w14:textId="77777777" w:rsidR="000001C8" w:rsidRPr="00580118" w:rsidRDefault="000001C8" w:rsidP="00672A0D">
            <w:pPr>
              <w:jc w:val="both"/>
              <w:rPr>
                <w:rFonts w:asciiTheme="majorHAnsi" w:hAnsiTheme="majorHAnsi" w:cstheme="majorHAnsi"/>
                <w:b w:val="0"/>
                <w:sz w:val="20"/>
                <w:szCs w:val="20"/>
              </w:rPr>
            </w:pPr>
            <w:r w:rsidRPr="00580118">
              <w:rPr>
                <w:rFonts w:asciiTheme="majorHAnsi" w:hAnsiTheme="majorHAnsi" w:cstheme="majorHAnsi"/>
                <w:sz w:val="20"/>
                <w:szCs w:val="20"/>
              </w:rPr>
              <w:t xml:space="preserve">Average-data method: </w:t>
            </w:r>
            <w:r w:rsidRPr="00580118">
              <w:rPr>
                <w:rFonts w:asciiTheme="majorHAnsi" w:hAnsiTheme="majorHAnsi" w:cstheme="majorHAnsi"/>
                <w:b w:val="0"/>
                <w:sz w:val="20"/>
                <w:szCs w:val="20"/>
              </w:rPr>
              <w:t>The mass of purchased goods (e.g., kg) or other relevant units of goods and services are multiplied with relevant secondary emission factors (e.g., sector-average emission factors).</w:t>
            </w:r>
          </w:p>
        </w:tc>
      </w:tr>
      <w:tr w:rsidR="00580118" w:rsidRPr="00580118" w14:paraId="0810CF90" w14:textId="77777777" w:rsidTr="00672A0D">
        <w:trPr>
          <w:trHeight w:val="839"/>
          <w:jc w:val="center"/>
        </w:trPr>
        <w:tc>
          <w:tcPr>
            <w:cnfStyle w:val="001000000000" w:firstRow="0" w:lastRow="0" w:firstColumn="1" w:lastColumn="0" w:oddVBand="0" w:evenVBand="0" w:oddHBand="0" w:evenHBand="0" w:firstRowFirstColumn="0" w:firstRowLastColumn="0" w:lastRowFirstColumn="0" w:lastRowLastColumn="0"/>
            <w:tcW w:w="7215" w:type="dxa"/>
            <w:vAlign w:val="center"/>
          </w:tcPr>
          <w:p w14:paraId="6B611FE0" w14:textId="77777777" w:rsidR="000001C8" w:rsidRPr="00580118" w:rsidRDefault="000001C8" w:rsidP="00672A0D">
            <w:pPr>
              <w:keepNext/>
              <w:jc w:val="both"/>
              <w:rPr>
                <w:rFonts w:asciiTheme="majorHAnsi" w:hAnsiTheme="majorHAnsi" w:cstheme="majorHAnsi"/>
                <w:b w:val="0"/>
                <w:sz w:val="20"/>
                <w:szCs w:val="20"/>
              </w:rPr>
            </w:pPr>
            <w:r w:rsidRPr="00580118">
              <w:rPr>
                <w:rFonts w:asciiTheme="majorHAnsi" w:hAnsiTheme="majorHAnsi" w:cstheme="majorHAnsi"/>
                <w:sz w:val="20"/>
                <w:szCs w:val="20"/>
              </w:rPr>
              <w:t xml:space="preserve">Spend-based method: </w:t>
            </w:r>
            <w:r w:rsidRPr="00580118">
              <w:rPr>
                <w:rFonts w:asciiTheme="majorHAnsi" w:hAnsiTheme="majorHAnsi" w:cstheme="majorHAnsi"/>
                <w:b w:val="0"/>
                <w:sz w:val="20"/>
                <w:szCs w:val="20"/>
              </w:rPr>
              <w:t>The monetary value of purchased goods and services is multiplied with relevant secondary emission factors (e.g., sector-average emission factors).</w:t>
            </w:r>
          </w:p>
        </w:tc>
      </w:tr>
    </w:tbl>
    <w:p w14:paraId="07F76C1B" w14:textId="77777777" w:rsidR="000001C8" w:rsidRPr="00580118" w:rsidRDefault="000001C8" w:rsidP="000001C8">
      <w:pPr>
        <w:pStyle w:val="Caption"/>
        <w:spacing w:before="120"/>
        <w:jc w:val="center"/>
        <w:rPr>
          <w:rFonts w:asciiTheme="majorHAnsi" w:hAnsiTheme="majorHAnsi" w:cstheme="majorHAnsi"/>
          <w:color w:val="auto"/>
          <w:sz w:val="16"/>
          <w:szCs w:val="16"/>
          <w:lang w:val="en-GB"/>
        </w:rPr>
      </w:pPr>
      <w:r w:rsidRPr="00580118">
        <w:rPr>
          <w:color w:val="auto"/>
          <w:sz w:val="16"/>
          <w:szCs w:val="16"/>
          <w:lang w:val="en-GB"/>
        </w:rPr>
        <w:t>Table 1 - Data collection methods</w:t>
      </w:r>
    </w:p>
    <w:p w14:paraId="39FB0267" w14:textId="77777777" w:rsidR="000001C8" w:rsidRPr="00580118" w:rsidRDefault="000001C8" w:rsidP="000001C8">
      <w:pPr>
        <w:spacing w:line="276" w:lineRule="auto"/>
        <w:jc w:val="both"/>
        <w:rPr>
          <w:rFonts w:asciiTheme="majorHAnsi" w:hAnsiTheme="majorHAnsi" w:cstheme="majorHAnsi"/>
          <w:sz w:val="22"/>
          <w:szCs w:val="22"/>
        </w:rPr>
      </w:pPr>
    </w:p>
    <w:p w14:paraId="6D9804E7" w14:textId="67285056" w:rsidR="000001C8" w:rsidRDefault="000001C8" w:rsidP="000001C8">
      <w:pPr>
        <w:spacing w:line="276" w:lineRule="auto"/>
        <w:jc w:val="both"/>
        <w:rPr>
          <w:rFonts w:asciiTheme="majorHAnsi" w:hAnsiTheme="majorHAnsi" w:cstheme="majorHAnsi"/>
          <w:sz w:val="22"/>
          <w:szCs w:val="22"/>
        </w:rPr>
      </w:pPr>
      <w:r w:rsidRPr="00580118">
        <w:rPr>
          <w:rFonts w:asciiTheme="majorHAnsi" w:hAnsiTheme="majorHAnsi" w:cstheme="majorHAnsi"/>
          <w:sz w:val="22"/>
          <w:szCs w:val="22"/>
        </w:rPr>
        <w:t xml:space="preserve">For </w:t>
      </w:r>
      <w:proofErr w:type="spellStart"/>
      <w:r w:rsidRPr="00580118">
        <w:rPr>
          <w:rFonts w:asciiTheme="majorHAnsi" w:hAnsiTheme="majorHAnsi" w:cstheme="majorHAnsi"/>
          <w:sz w:val="22"/>
          <w:szCs w:val="22"/>
        </w:rPr>
        <w:t>ProCon’s</w:t>
      </w:r>
      <w:proofErr w:type="spellEnd"/>
      <w:r w:rsidRPr="00580118">
        <w:rPr>
          <w:rFonts w:asciiTheme="majorHAnsi" w:hAnsiTheme="majorHAnsi" w:cstheme="majorHAnsi"/>
          <w:sz w:val="22"/>
          <w:szCs w:val="22"/>
        </w:rPr>
        <w:t xml:space="preserve"> 202</w:t>
      </w:r>
      <w:r w:rsidR="00D626E5">
        <w:rPr>
          <w:rFonts w:asciiTheme="majorHAnsi" w:hAnsiTheme="majorHAnsi" w:cstheme="majorHAnsi"/>
          <w:sz w:val="22"/>
          <w:szCs w:val="22"/>
        </w:rPr>
        <w:t>3</w:t>
      </w:r>
      <w:r w:rsidRPr="00580118">
        <w:rPr>
          <w:rFonts w:asciiTheme="majorHAnsi" w:hAnsiTheme="majorHAnsi" w:cstheme="majorHAnsi"/>
          <w:sz w:val="22"/>
          <w:szCs w:val="22"/>
        </w:rPr>
        <w:t xml:space="preserve"> GHG account, the data and emission factors have been collected using the </w:t>
      </w:r>
      <w:r w:rsidRPr="00580118">
        <w:rPr>
          <w:rFonts w:asciiTheme="majorHAnsi" w:hAnsiTheme="majorHAnsi" w:cstheme="majorHAnsi"/>
          <w:i/>
          <w:sz w:val="22"/>
          <w:szCs w:val="22"/>
        </w:rPr>
        <w:t>hybrid</w:t>
      </w:r>
      <w:r w:rsidRPr="00580118">
        <w:rPr>
          <w:rFonts w:asciiTheme="majorHAnsi" w:hAnsiTheme="majorHAnsi" w:cstheme="majorHAnsi"/>
          <w:sz w:val="22"/>
          <w:szCs w:val="22"/>
        </w:rPr>
        <w:t xml:space="preserve">, </w:t>
      </w:r>
      <w:r w:rsidRPr="00580118">
        <w:rPr>
          <w:rFonts w:asciiTheme="majorHAnsi" w:hAnsiTheme="majorHAnsi" w:cstheme="majorHAnsi"/>
          <w:i/>
          <w:sz w:val="22"/>
          <w:szCs w:val="22"/>
        </w:rPr>
        <w:t>average-data</w:t>
      </w:r>
      <w:r w:rsidRPr="00580118">
        <w:rPr>
          <w:rFonts w:asciiTheme="majorHAnsi" w:hAnsiTheme="majorHAnsi" w:cstheme="majorHAnsi"/>
          <w:sz w:val="22"/>
          <w:szCs w:val="22"/>
        </w:rPr>
        <w:t xml:space="preserve">, and </w:t>
      </w:r>
      <w:r w:rsidRPr="00580118">
        <w:rPr>
          <w:rFonts w:asciiTheme="majorHAnsi" w:hAnsiTheme="majorHAnsi" w:cstheme="majorHAnsi"/>
          <w:i/>
          <w:sz w:val="22"/>
          <w:szCs w:val="22"/>
        </w:rPr>
        <w:t xml:space="preserve">spend-based </w:t>
      </w:r>
      <w:r w:rsidRPr="00580118">
        <w:rPr>
          <w:rFonts w:asciiTheme="majorHAnsi" w:hAnsiTheme="majorHAnsi" w:cstheme="majorHAnsi"/>
          <w:sz w:val="22"/>
          <w:szCs w:val="22"/>
        </w:rPr>
        <w:t xml:space="preserve">methods. Since the core component of </w:t>
      </w:r>
      <w:proofErr w:type="spellStart"/>
      <w:r w:rsidRPr="00580118">
        <w:rPr>
          <w:rFonts w:asciiTheme="majorHAnsi" w:hAnsiTheme="majorHAnsi" w:cstheme="majorHAnsi"/>
          <w:sz w:val="22"/>
          <w:szCs w:val="22"/>
        </w:rPr>
        <w:t>ProCon’s</w:t>
      </w:r>
      <w:proofErr w:type="spellEnd"/>
      <w:r w:rsidRPr="00580118">
        <w:rPr>
          <w:rFonts w:asciiTheme="majorHAnsi" w:hAnsiTheme="majorHAnsi" w:cstheme="majorHAnsi"/>
          <w:sz w:val="22"/>
          <w:szCs w:val="22"/>
        </w:rPr>
        <w:t xml:space="preserve"> business is to provide varying services related to wind farm projects, the material input and associated supply chains vary from project to project, making the </w:t>
      </w:r>
      <w:r w:rsidRPr="00580118">
        <w:rPr>
          <w:rFonts w:asciiTheme="majorHAnsi" w:hAnsiTheme="majorHAnsi" w:cstheme="majorHAnsi"/>
          <w:i/>
          <w:sz w:val="22"/>
          <w:szCs w:val="22"/>
        </w:rPr>
        <w:t>supplier-specific method</w:t>
      </w:r>
      <w:r w:rsidRPr="00580118">
        <w:rPr>
          <w:rFonts w:asciiTheme="majorHAnsi" w:hAnsiTheme="majorHAnsi" w:cstheme="majorHAnsi"/>
          <w:sz w:val="22"/>
          <w:szCs w:val="22"/>
        </w:rPr>
        <w:t xml:space="preserve"> ineffective as no standardized product/service is being provided continuously across the organization’s projects.</w:t>
      </w:r>
    </w:p>
    <w:p w14:paraId="44C0C5EF" w14:textId="77777777" w:rsidR="00E96984" w:rsidRPr="00D7249C" w:rsidRDefault="00E96984" w:rsidP="000001C8">
      <w:pPr>
        <w:spacing w:line="276" w:lineRule="auto"/>
        <w:jc w:val="both"/>
        <w:rPr>
          <w:rFonts w:asciiTheme="majorHAnsi" w:hAnsiTheme="majorHAnsi" w:cstheme="majorHAnsi"/>
          <w:sz w:val="22"/>
          <w:szCs w:val="22"/>
        </w:rPr>
      </w:pPr>
    </w:p>
    <w:p w14:paraId="4DB9BF53" w14:textId="77777777" w:rsidR="00D626E5" w:rsidRPr="00D7249C" w:rsidRDefault="00D626E5" w:rsidP="005E652D">
      <w:pPr>
        <w:spacing w:line="276" w:lineRule="auto"/>
        <w:jc w:val="both"/>
        <w:rPr>
          <w:rFonts w:asciiTheme="majorHAnsi" w:hAnsiTheme="majorHAnsi" w:cstheme="majorHAnsi"/>
          <w:sz w:val="22"/>
          <w:szCs w:val="22"/>
          <w:lang w:val="en-GB"/>
        </w:rPr>
      </w:pPr>
      <w:r w:rsidRPr="00D7249C">
        <w:rPr>
          <w:rFonts w:asciiTheme="majorHAnsi" w:hAnsiTheme="majorHAnsi" w:cstheme="majorHAnsi"/>
          <w:sz w:val="22"/>
          <w:szCs w:val="22"/>
          <w:lang w:val="en-GB"/>
        </w:rPr>
        <w:t>The primary data collection method f</w:t>
      </w:r>
      <w:r w:rsidRPr="00D7249C">
        <w:rPr>
          <w:rFonts w:asciiTheme="majorHAnsi" w:hAnsiTheme="majorHAnsi" w:cstheme="majorHAnsi"/>
          <w:sz w:val="22"/>
          <w:szCs w:val="22"/>
        </w:rPr>
        <w:t xml:space="preserve">or </w:t>
      </w:r>
      <w:proofErr w:type="spellStart"/>
      <w:r w:rsidRPr="00D7249C">
        <w:rPr>
          <w:rFonts w:asciiTheme="majorHAnsi" w:hAnsiTheme="majorHAnsi" w:cstheme="majorHAnsi"/>
          <w:sz w:val="22"/>
          <w:szCs w:val="22"/>
        </w:rPr>
        <w:t>ProCon’s</w:t>
      </w:r>
      <w:proofErr w:type="spellEnd"/>
      <w:r w:rsidRPr="00D7249C">
        <w:rPr>
          <w:rFonts w:asciiTheme="majorHAnsi" w:hAnsiTheme="majorHAnsi" w:cstheme="majorHAnsi"/>
          <w:sz w:val="22"/>
          <w:szCs w:val="22"/>
        </w:rPr>
        <w:t xml:space="preserve"> 2023 GHG account</w:t>
      </w:r>
      <w:r w:rsidRPr="00D7249C">
        <w:rPr>
          <w:rFonts w:asciiTheme="majorHAnsi" w:hAnsiTheme="majorHAnsi" w:cstheme="majorHAnsi"/>
          <w:sz w:val="22"/>
          <w:szCs w:val="22"/>
        </w:rPr>
        <w:t xml:space="preserve"> is the </w:t>
      </w:r>
      <w:r w:rsidR="00A8536B" w:rsidRPr="00D7249C">
        <w:rPr>
          <w:rFonts w:asciiTheme="majorHAnsi" w:hAnsiTheme="majorHAnsi" w:cstheme="majorHAnsi"/>
          <w:sz w:val="22"/>
          <w:szCs w:val="22"/>
          <w:lang w:val="en-GB"/>
        </w:rPr>
        <w:t>spend-based method.</w:t>
      </w:r>
    </w:p>
    <w:p w14:paraId="4E7D84DD" w14:textId="2963763F" w:rsidR="009F3E75" w:rsidRPr="00D7249C" w:rsidRDefault="00D626E5" w:rsidP="009F3E75">
      <w:pPr>
        <w:spacing w:line="276" w:lineRule="auto"/>
        <w:jc w:val="both"/>
        <w:rPr>
          <w:rFonts w:asciiTheme="majorHAnsi" w:hAnsiTheme="majorHAnsi" w:cstheme="majorHAnsi"/>
          <w:sz w:val="22"/>
          <w:szCs w:val="22"/>
          <w:lang w:val="en-GB"/>
        </w:rPr>
      </w:pPr>
      <w:r w:rsidRPr="00D7249C">
        <w:rPr>
          <w:rFonts w:asciiTheme="majorHAnsi" w:hAnsiTheme="majorHAnsi" w:cstheme="majorHAnsi"/>
          <w:sz w:val="22"/>
          <w:szCs w:val="22"/>
          <w:lang w:val="en-GB"/>
        </w:rPr>
        <w:t xml:space="preserve">The data collected for </w:t>
      </w:r>
      <w:proofErr w:type="spellStart"/>
      <w:r w:rsidRPr="00D7249C">
        <w:rPr>
          <w:rFonts w:asciiTheme="majorHAnsi" w:hAnsiTheme="majorHAnsi" w:cstheme="majorHAnsi"/>
          <w:sz w:val="22"/>
          <w:szCs w:val="22"/>
          <w:lang w:val="en-GB"/>
        </w:rPr>
        <w:t>ProCon’s</w:t>
      </w:r>
      <w:proofErr w:type="spellEnd"/>
      <w:r w:rsidRPr="00D7249C">
        <w:rPr>
          <w:rFonts w:asciiTheme="majorHAnsi" w:hAnsiTheme="majorHAnsi" w:cstheme="majorHAnsi"/>
          <w:sz w:val="22"/>
          <w:szCs w:val="22"/>
          <w:lang w:val="en-GB"/>
        </w:rPr>
        <w:t xml:space="preserve"> 2023 GHG inventory has been split into project related costs and non-project related costs. The project related costs </w:t>
      </w:r>
      <w:r w:rsidR="007E79AE" w:rsidRPr="00D7249C">
        <w:rPr>
          <w:rFonts w:asciiTheme="majorHAnsi" w:hAnsiTheme="majorHAnsi" w:cstheme="majorHAnsi"/>
          <w:sz w:val="22"/>
          <w:szCs w:val="22"/>
          <w:lang w:val="en-GB"/>
        </w:rPr>
        <w:t xml:space="preserve">were </w:t>
      </w:r>
      <w:r w:rsidR="007E79AE" w:rsidRPr="00D7249C">
        <w:rPr>
          <w:rFonts w:asciiTheme="majorHAnsi" w:hAnsiTheme="majorHAnsi" w:cstheme="majorHAnsi"/>
          <w:sz w:val="22"/>
          <w:szCs w:val="22"/>
          <w:lang w:val="en-GB"/>
        </w:rPr>
        <w:t>subsequently</w:t>
      </w:r>
      <w:r w:rsidR="007E79AE" w:rsidRPr="00D7249C">
        <w:rPr>
          <w:rFonts w:asciiTheme="majorHAnsi" w:hAnsiTheme="majorHAnsi" w:cstheme="majorHAnsi"/>
          <w:sz w:val="22"/>
          <w:szCs w:val="22"/>
          <w:lang w:val="en-GB"/>
        </w:rPr>
        <w:t xml:space="preserve"> </w:t>
      </w:r>
      <w:r w:rsidR="009F3E75" w:rsidRPr="00D7249C">
        <w:rPr>
          <w:rFonts w:asciiTheme="majorHAnsi" w:hAnsiTheme="majorHAnsi" w:cstheme="majorHAnsi"/>
          <w:sz w:val="22"/>
          <w:szCs w:val="22"/>
          <w:lang w:val="en-GB"/>
        </w:rPr>
        <w:t>divided</w:t>
      </w:r>
      <w:r w:rsidR="007E79AE" w:rsidRPr="00D7249C">
        <w:rPr>
          <w:rFonts w:asciiTheme="majorHAnsi" w:hAnsiTheme="majorHAnsi" w:cstheme="majorHAnsi"/>
          <w:sz w:val="22"/>
          <w:szCs w:val="22"/>
          <w:lang w:val="en-GB"/>
        </w:rPr>
        <w:t xml:space="preserve"> </w:t>
      </w:r>
      <w:r w:rsidR="002E0ED3">
        <w:rPr>
          <w:rFonts w:asciiTheme="majorHAnsi" w:hAnsiTheme="majorHAnsi" w:cstheme="majorHAnsi"/>
          <w:sz w:val="22"/>
          <w:szCs w:val="22"/>
          <w:lang w:val="en-GB"/>
        </w:rPr>
        <w:t>i</w:t>
      </w:r>
      <w:r w:rsidR="007E79AE" w:rsidRPr="00D7249C">
        <w:rPr>
          <w:rFonts w:asciiTheme="majorHAnsi" w:hAnsiTheme="majorHAnsi" w:cstheme="majorHAnsi"/>
          <w:sz w:val="22"/>
          <w:szCs w:val="22"/>
          <w:lang w:val="en-GB"/>
        </w:rPr>
        <w:t xml:space="preserve">nto suppliers </w:t>
      </w:r>
      <w:r w:rsidR="007E79AE" w:rsidRPr="00D7249C">
        <w:rPr>
          <w:rFonts w:asciiTheme="majorHAnsi" w:hAnsiTheme="majorHAnsi" w:cstheme="majorHAnsi"/>
          <w:sz w:val="22"/>
          <w:szCs w:val="22"/>
          <w:lang w:val="en-GB"/>
        </w:rPr>
        <w:t>after which</w:t>
      </w:r>
      <w:r w:rsidR="007E79AE" w:rsidRPr="00D7249C">
        <w:rPr>
          <w:rFonts w:asciiTheme="majorHAnsi" w:hAnsiTheme="majorHAnsi" w:cstheme="majorHAnsi"/>
          <w:sz w:val="22"/>
          <w:szCs w:val="22"/>
          <w:lang w:val="en-GB"/>
        </w:rPr>
        <w:t xml:space="preserve"> the suppliers have been categorised</w:t>
      </w:r>
      <w:r w:rsidR="007E79AE" w:rsidRPr="00D7249C">
        <w:rPr>
          <w:rFonts w:asciiTheme="majorHAnsi" w:hAnsiTheme="majorHAnsi" w:cstheme="majorHAnsi"/>
          <w:sz w:val="22"/>
          <w:szCs w:val="22"/>
          <w:lang w:val="en-GB"/>
        </w:rPr>
        <w:t xml:space="preserve"> base</w:t>
      </w:r>
      <w:r w:rsidR="007E79AE" w:rsidRPr="00D7249C">
        <w:rPr>
          <w:rFonts w:asciiTheme="majorHAnsi" w:hAnsiTheme="majorHAnsi" w:cstheme="majorHAnsi"/>
          <w:sz w:val="22"/>
          <w:szCs w:val="22"/>
          <w:lang w:val="en-GB"/>
        </w:rPr>
        <w:t>d</w:t>
      </w:r>
      <w:r w:rsidR="007E79AE" w:rsidRPr="00D7249C">
        <w:rPr>
          <w:rFonts w:asciiTheme="majorHAnsi" w:hAnsiTheme="majorHAnsi" w:cstheme="majorHAnsi"/>
          <w:sz w:val="22"/>
          <w:szCs w:val="22"/>
          <w:lang w:val="en-GB"/>
        </w:rPr>
        <w:t xml:space="preserve"> on the products or services they </w:t>
      </w:r>
      <w:r w:rsidR="007E79AE" w:rsidRPr="00D7249C">
        <w:rPr>
          <w:rFonts w:asciiTheme="majorHAnsi" w:hAnsiTheme="majorHAnsi" w:cstheme="majorHAnsi"/>
          <w:sz w:val="22"/>
          <w:szCs w:val="22"/>
          <w:lang w:val="en-GB"/>
        </w:rPr>
        <w:t xml:space="preserve">supply.  Non-project related costs have been collected from </w:t>
      </w:r>
      <w:proofErr w:type="spellStart"/>
      <w:r w:rsidR="007E79AE" w:rsidRPr="00D7249C">
        <w:rPr>
          <w:rFonts w:asciiTheme="majorHAnsi" w:hAnsiTheme="majorHAnsi" w:cstheme="majorHAnsi"/>
          <w:sz w:val="22"/>
          <w:szCs w:val="22"/>
          <w:lang w:val="en-GB"/>
        </w:rPr>
        <w:t>ProCon</w:t>
      </w:r>
      <w:r w:rsidR="009F3E75" w:rsidRPr="00D7249C">
        <w:rPr>
          <w:rFonts w:asciiTheme="majorHAnsi" w:hAnsiTheme="majorHAnsi" w:cstheme="majorHAnsi"/>
          <w:sz w:val="22"/>
          <w:szCs w:val="22"/>
          <w:lang w:val="en-GB"/>
        </w:rPr>
        <w:t>’</w:t>
      </w:r>
      <w:r w:rsidR="007E79AE" w:rsidRPr="00D7249C">
        <w:rPr>
          <w:rFonts w:asciiTheme="majorHAnsi" w:hAnsiTheme="majorHAnsi" w:cstheme="majorHAnsi"/>
          <w:sz w:val="22"/>
          <w:szCs w:val="22"/>
          <w:lang w:val="en-GB"/>
        </w:rPr>
        <w:t>s</w:t>
      </w:r>
      <w:proofErr w:type="spellEnd"/>
      <w:r w:rsidR="007E79AE" w:rsidRPr="00D7249C">
        <w:rPr>
          <w:rFonts w:asciiTheme="majorHAnsi" w:hAnsiTheme="majorHAnsi" w:cstheme="majorHAnsi"/>
          <w:sz w:val="22"/>
          <w:szCs w:val="22"/>
          <w:lang w:val="en-GB"/>
        </w:rPr>
        <w:t xml:space="preserve"> P&amp;L</w:t>
      </w:r>
      <w:r w:rsidR="009F3E75" w:rsidRPr="00D7249C">
        <w:rPr>
          <w:rFonts w:asciiTheme="majorHAnsi" w:hAnsiTheme="majorHAnsi" w:cstheme="majorHAnsi"/>
          <w:sz w:val="22"/>
          <w:szCs w:val="22"/>
          <w:lang w:val="en-GB"/>
        </w:rPr>
        <w:t>,</w:t>
      </w:r>
      <w:r w:rsidR="007E79AE" w:rsidRPr="00D7249C">
        <w:rPr>
          <w:rFonts w:asciiTheme="majorHAnsi" w:hAnsiTheme="majorHAnsi" w:cstheme="majorHAnsi"/>
          <w:sz w:val="22"/>
          <w:szCs w:val="22"/>
          <w:lang w:val="en-GB"/>
        </w:rPr>
        <w:t xml:space="preserve"> where relevant accounts have been categorised based on the entering on th</w:t>
      </w:r>
      <w:r w:rsidR="009F3E75" w:rsidRPr="00D7249C">
        <w:rPr>
          <w:rFonts w:asciiTheme="majorHAnsi" w:hAnsiTheme="majorHAnsi" w:cstheme="majorHAnsi"/>
          <w:sz w:val="22"/>
          <w:szCs w:val="22"/>
          <w:lang w:val="en-GB"/>
        </w:rPr>
        <w:t>ese</w:t>
      </w:r>
      <w:r w:rsidR="007E79AE" w:rsidRPr="00D7249C">
        <w:rPr>
          <w:rFonts w:asciiTheme="majorHAnsi" w:hAnsiTheme="majorHAnsi" w:cstheme="majorHAnsi"/>
          <w:sz w:val="22"/>
          <w:szCs w:val="22"/>
          <w:lang w:val="en-GB"/>
        </w:rPr>
        <w:t xml:space="preserve"> account</w:t>
      </w:r>
      <w:r w:rsidR="009F3E75" w:rsidRPr="00D7249C">
        <w:rPr>
          <w:rFonts w:asciiTheme="majorHAnsi" w:hAnsiTheme="majorHAnsi" w:cstheme="majorHAnsi"/>
          <w:sz w:val="22"/>
          <w:szCs w:val="22"/>
          <w:lang w:val="en-GB"/>
        </w:rPr>
        <w:t>s</w:t>
      </w:r>
      <w:r w:rsidR="007E79AE" w:rsidRPr="00D7249C">
        <w:rPr>
          <w:rFonts w:asciiTheme="majorHAnsi" w:hAnsiTheme="majorHAnsi" w:cstheme="majorHAnsi"/>
          <w:sz w:val="22"/>
          <w:szCs w:val="22"/>
          <w:lang w:val="en-GB"/>
        </w:rPr>
        <w:t>.</w:t>
      </w:r>
      <w:r w:rsidR="009F3E75" w:rsidRPr="00D7249C">
        <w:rPr>
          <w:rFonts w:asciiTheme="majorHAnsi" w:hAnsiTheme="majorHAnsi" w:cstheme="majorHAnsi"/>
          <w:sz w:val="22"/>
          <w:szCs w:val="22"/>
          <w:lang w:val="en-GB"/>
        </w:rPr>
        <w:t xml:space="preserve"> Some project related and non-projected costs have afterwards been investigated further and </w:t>
      </w:r>
      <w:r w:rsidR="009F3E75" w:rsidRPr="00D7249C">
        <w:rPr>
          <w:rFonts w:asciiTheme="majorHAnsi" w:hAnsiTheme="majorHAnsi" w:cstheme="majorHAnsi"/>
          <w:sz w:val="22"/>
          <w:szCs w:val="22"/>
          <w:lang w:val="en-GB"/>
        </w:rPr>
        <w:t>consumption units</w:t>
      </w:r>
      <w:r w:rsidR="009F3E75" w:rsidRPr="00D7249C">
        <w:rPr>
          <w:rFonts w:asciiTheme="majorHAnsi" w:hAnsiTheme="majorHAnsi" w:cstheme="majorHAnsi"/>
          <w:sz w:val="22"/>
          <w:szCs w:val="22"/>
          <w:lang w:val="en-GB"/>
        </w:rPr>
        <w:t xml:space="preserve"> has been estimated or specific emission factors has been found:</w:t>
      </w:r>
    </w:p>
    <w:p w14:paraId="22466AFF" w14:textId="77777777" w:rsidR="00376FCD" w:rsidRPr="00D7249C" w:rsidRDefault="009F3E75" w:rsidP="00376FCD">
      <w:pPr>
        <w:pStyle w:val="ListParagraph"/>
        <w:numPr>
          <w:ilvl w:val="0"/>
          <w:numId w:val="19"/>
        </w:numPr>
        <w:spacing w:line="276" w:lineRule="auto"/>
        <w:jc w:val="both"/>
        <w:rPr>
          <w:rFonts w:asciiTheme="majorHAnsi" w:hAnsiTheme="majorHAnsi" w:cstheme="majorHAnsi"/>
          <w:sz w:val="22"/>
          <w:szCs w:val="22"/>
          <w:lang w:val="en-GB"/>
        </w:rPr>
      </w:pPr>
      <w:r w:rsidRPr="00D7249C">
        <w:rPr>
          <w:rFonts w:asciiTheme="majorHAnsi" w:hAnsiTheme="majorHAnsi" w:cstheme="majorHAnsi"/>
          <w:sz w:val="22"/>
          <w:szCs w:val="22"/>
          <w:lang w:val="en-GB"/>
        </w:rPr>
        <w:t xml:space="preserve">Scope 1: </w:t>
      </w:r>
    </w:p>
    <w:p w14:paraId="1048E4CC" w14:textId="143F1FFC" w:rsidR="00D626E5" w:rsidRPr="00D7249C" w:rsidRDefault="00376FCD" w:rsidP="00376FCD">
      <w:pPr>
        <w:pStyle w:val="ListParagraph"/>
        <w:numPr>
          <w:ilvl w:val="1"/>
          <w:numId w:val="18"/>
        </w:numPr>
        <w:spacing w:line="276" w:lineRule="auto"/>
        <w:jc w:val="both"/>
        <w:rPr>
          <w:rFonts w:asciiTheme="majorHAnsi" w:hAnsiTheme="majorHAnsi" w:cstheme="majorHAnsi"/>
          <w:sz w:val="22"/>
          <w:szCs w:val="22"/>
          <w:lang w:val="en-GB"/>
        </w:rPr>
      </w:pPr>
      <w:r w:rsidRPr="00D7249C">
        <w:rPr>
          <w:rFonts w:asciiTheme="majorHAnsi" w:hAnsiTheme="majorHAnsi" w:cstheme="majorHAnsi"/>
          <w:sz w:val="22"/>
          <w:szCs w:val="22"/>
          <w:lang w:val="en-GB"/>
        </w:rPr>
        <w:t>E</w:t>
      </w:r>
      <w:r w:rsidR="009F3E75" w:rsidRPr="00D7249C">
        <w:rPr>
          <w:rFonts w:asciiTheme="majorHAnsi" w:hAnsiTheme="majorHAnsi" w:cstheme="majorHAnsi"/>
          <w:sz w:val="22"/>
          <w:szCs w:val="22"/>
          <w:lang w:val="en-GB"/>
        </w:rPr>
        <w:t>missions from transp</w:t>
      </w:r>
      <w:r w:rsidRPr="00D7249C">
        <w:rPr>
          <w:rFonts w:asciiTheme="majorHAnsi" w:hAnsiTheme="majorHAnsi" w:cstheme="majorHAnsi"/>
          <w:sz w:val="22"/>
          <w:szCs w:val="22"/>
          <w:lang w:val="en-GB"/>
        </w:rPr>
        <w:t>ort</w:t>
      </w:r>
      <w:r w:rsidR="009B5A24">
        <w:rPr>
          <w:rFonts w:asciiTheme="majorHAnsi" w:hAnsiTheme="majorHAnsi" w:cstheme="majorHAnsi"/>
          <w:sz w:val="22"/>
          <w:szCs w:val="22"/>
          <w:lang w:val="en-GB"/>
        </w:rPr>
        <w:t>ation</w:t>
      </w:r>
      <w:r w:rsidRPr="00D7249C">
        <w:rPr>
          <w:rFonts w:asciiTheme="majorHAnsi" w:hAnsiTheme="majorHAnsi" w:cstheme="majorHAnsi"/>
          <w:sz w:val="22"/>
          <w:szCs w:val="22"/>
          <w:lang w:val="en-GB"/>
        </w:rPr>
        <w:t xml:space="preserve"> in </w:t>
      </w:r>
      <w:proofErr w:type="spellStart"/>
      <w:r w:rsidRPr="00D7249C">
        <w:rPr>
          <w:rFonts w:asciiTheme="majorHAnsi" w:hAnsiTheme="majorHAnsi" w:cstheme="majorHAnsi"/>
          <w:sz w:val="22"/>
          <w:szCs w:val="22"/>
          <w:lang w:val="en-GB"/>
        </w:rPr>
        <w:t>ProCon’s</w:t>
      </w:r>
      <w:proofErr w:type="spellEnd"/>
      <w:r w:rsidRPr="00D7249C">
        <w:rPr>
          <w:rFonts w:asciiTheme="majorHAnsi" w:hAnsiTheme="majorHAnsi" w:cstheme="majorHAnsi"/>
          <w:sz w:val="22"/>
          <w:szCs w:val="22"/>
          <w:lang w:val="en-GB"/>
        </w:rPr>
        <w:t xml:space="preserve"> own or leased vehicles: </w:t>
      </w:r>
      <w:r w:rsidR="00D37623" w:rsidRPr="00D7249C">
        <w:rPr>
          <w:rFonts w:asciiTheme="majorHAnsi" w:hAnsiTheme="majorHAnsi" w:cstheme="majorHAnsi"/>
          <w:sz w:val="22"/>
          <w:szCs w:val="22"/>
          <w:lang w:val="en-GB"/>
        </w:rPr>
        <w:t>Based on the monetary value spend on fuel an estimated consumption</w:t>
      </w:r>
      <w:r w:rsidR="009B5A24">
        <w:rPr>
          <w:rFonts w:asciiTheme="majorHAnsi" w:hAnsiTheme="majorHAnsi" w:cstheme="majorHAnsi"/>
          <w:sz w:val="22"/>
          <w:szCs w:val="22"/>
          <w:lang w:val="en-GB"/>
        </w:rPr>
        <w:t xml:space="preserve"> of</w:t>
      </w:r>
      <w:r w:rsidR="00D37623" w:rsidRPr="00D7249C">
        <w:rPr>
          <w:rFonts w:asciiTheme="majorHAnsi" w:hAnsiTheme="majorHAnsi" w:cstheme="majorHAnsi"/>
          <w:sz w:val="22"/>
          <w:szCs w:val="22"/>
          <w:lang w:val="en-GB"/>
        </w:rPr>
        <w:t xml:space="preserve"> </w:t>
      </w:r>
      <w:r w:rsidR="00D37623" w:rsidRPr="00D7249C">
        <w:rPr>
          <w:rFonts w:asciiTheme="majorHAnsi" w:hAnsiTheme="majorHAnsi" w:cstheme="majorHAnsi"/>
          <w:sz w:val="22"/>
          <w:szCs w:val="22"/>
          <w:lang w:val="en-GB"/>
        </w:rPr>
        <w:t>litre</w:t>
      </w:r>
      <w:r w:rsidR="009B5A24">
        <w:rPr>
          <w:rFonts w:asciiTheme="majorHAnsi" w:hAnsiTheme="majorHAnsi" w:cstheme="majorHAnsi"/>
          <w:sz w:val="22"/>
          <w:szCs w:val="22"/>
          <w:lang w:val="en-GB"/>
        </w:rPr>
        <w:t>s of</w:t>
      </w:r>
      <w:r w:rsidR="00D37623" w:rsidRPr="00D7249C">
        <w:rPr>
          <w:rFonts w:asciiTheme="majorHAnsi" w:hAnsiTheme="majorHAnsi" w:cstheme="majorHAnsi"/>
          <w:sz w:val="22"/>
          <w:szCs w:val="22"/>
          <w:lang w:val="en-GB"/>
        </w:rPr>
        <w:t xml:space="preserve"> diesel</w:t>
      </w:r>
      <w:r w:rsidR="00D37623" w:rsidRPr="00D7249C">
        <w:rPr>
          <w:rFonts w:asciiTheme="majorHAnsi" w:hAnsiTheme="majorHAnsi" w:cstheme="majorHAnsi"/>
          <w:sz w:val="22"/>
          <w:szCs w:val="22"/>
          <w:lang w:val="en-GB"/>
        </w:rPr>
        <w:t xml:space="preserve"> w</w:t>
      </w:r>
      <w:r w:rsidR="009B5A24">
        <w:rPr>
          <w:rFonts w:asciiTheme="majorHAnsi" w:hAnsiTheme="majorHAnsi" w:cstheme="majorHAnsi"/>
          <w:sz w:val="22"/>
          <w:szCs w:val="22"/>
          <w:lang w:val="en-GB"/>
        </w:rPr>
        <w:t>as</w:t>
      </w:r>
      <w:r w:rsidR="00D37623" w:rsidRPr="00D7249C">
        <w:rPr>
          <w:rFonts w:asciiTheme="majorHAnsi" w:hAnsiTheme="majorHAnsi" w:cstheme="majorHAnsi"/>
          <w:sz w:val="22"/>
          <w:szCs w:val="22"/>
          <w:lang w:val="en-GB"/>
        </w:rPr>
        <w:t xml:space="preserve"> calculated</w:t>
      </w:r>
      <w:r w:rsidR="00415C25" w:rsidRPr="00D7249C">
        <w:rPr>
          <w:rFonts w:asciiTheme="majorHAnsi" w:hAnsiTheme="majorHAnsi" w:cstheme="majorHAnsi"/>
          <w:sz w:val="22"/>
          <w:szCs w:val="22"/>
          <w:lang w:val="en-GB"/>
        </w:rPr>
        <w:t xml:space="preserve">. This </w:t>
      </w:r>
      <w:r w:rsidR="00415C25" w:rsidRPr="00D7249C">
        <w:rPr>
          <w:rFonts w:asciiTheme="majorHAnsi" w:hAnsiTheme="majorHAnsi" w:cstheme="majorHAnsi"/>
          <w:sz w:val="22"/>
          <w:szCs w:val="22"/>
          <w:lang w:val="en-GB"/>
        </w:rPr>
        <w:lastRenderedPageBreak/>
        <w:t>calculation w</w:t>
      </w:r>
      <w:r w:rsidR="009B5A24">
        <w:rPr>
          <w:rFonts w:asciiTheme="majorHAnsi" w:hAnsiTheme="majorHAnsi" w:cstheme="majorHAnsi"/>
          <w:sz w:val="22"/>
          <w:szCs w:val="22"/>
          <w:lang w:val="en-GB"/>
        </w:rPr>
        <w:t>as made</w:t>
      </w:r>
      <w:r w:rsidR="00415C25" w:rsidRPr="00D7249C">
        <w:rPr>
          <w:rFonts w:asciiTheme="majorHAnsi" w:hAnsiTheme="majorHAnsi" w:cstheme="majorHAnsi"/>
          <w:sz w:val="22"/>
          <w:szCs w:val="22"/>
          <w:lang w:val="en-GB"/>
        </w:rPr>
        <w:t xml:space="preserve"> </w:t>
      </w:r>
      <w:r w:rsidR="009B5A24" w:rsidRPr="00D7249C">
        <w:rPr>
          <w:rFonts w:asciiTheme="majorHAnsi" w:hAnsiTheme="majorHAnsi" w:cstheme="majorHAnsi"/>
          <w:sz w:val="22"/>
          <w:szCs w:val="22"/>
          <w:lang w:val="en-GB"/>
        </w:rPr>
        <w:t>based on</w:t>
      </w:r>
      <w:r w:rsidR="00415C25" w:rsidRPr="00D7249C">
        <w:rPr>
          <w:rFonts w:asciiTheme="majorHAnsi" w:hAnsiTheme="majorHAnsi" w:cstheme="majorHAnsi"/>
          <w:sz w:val="22"/>
          <w:szCs w:val="22"/>
          <w:lang w:val="en-GB"/>
        </w:rPr>
        <w:t xml:space="preserve"> an </w:t>
      </w:r>
      <w:r w:rsidR="00415C25" w:rsidRPr="00D7249C">
        <w:rPr>
          <w:rFonts w:asciiTheme="majorHAnsi" w:hAnsiTheme="majorHAnsi" w:cstheme="majorHAnsi"/>
          <w:sz w:val="22"/>
          <w:szCs w:val="22"/>
          <w:lang w:val="en-GB"/>
        </w:rPr>
        <w:t>average market price</w:t>
      </w:r>
      <w:r w:rsidR="00415C25" w:rsidRPr="00D7249C">
        <w:rPr>
          <w:rFonts w:asciiTheme="majorHAnsi" w:hAnsiTheme="majorHAnsi" w:cstheme="majorHAnsi"/>
          <w:sz w:val="22"/>
          <w:szCs w:val="22"/>
          <w:lang w:val="en-GB"/>
        </w:rPr>
        <w:t xml:space="preserve"> </w:t>
      </w:r>
      <w:r w:rsidR="00D37623" w:rsidRPr="00D7249C">
        <w:rPr>
          <w:rFonts w:asciiTheme="majorHAnsi" w:hAnsiTheme="majorHAnsi" w:cstheme="majorHAnsi"/>
          <w:sz w:val="22"/>
          <w:szCs w:val="22"/>
          <w:lang w:val="en-GB"/>
        </w:rPr>
        <w:t>of diesel in</w:t>
      </w:r>
      <w:r w:rsidR="00415C25" w:rsidRPr="00D7249C">
        <w:rPr>
          <w:rFonts w:asciiTheme="majorHAnsi" w:hAnsiTheme="majorHAnsi" w:cstheme="majorHAnsi"/>
          <w:sz w:val="22"/>
          <w:szCs w:val="22"/>
          <w:lang w:val="en-GB"/>
        </w:rPr>
        <w:t xml:space="preserve"> Denmark in</w:t>
      </w:r>
      <w:r w:rsidR="00D37623" w:rsidRPr="00D7249C">
        <w:rPr>
          <w:rFonts w:asciiTheme="majorHAnsi" w:hAnsiTheme="majorHAnsi" w:cstheme="majorHAnsi"/>
          <w:sz w:val="22"/>
          <w:szCs w:val="22"/>
          <w:lang w:val="en-GB"/>
        </w:rPr>
        <w:t xml:space="preserve"> 2023</w:t>
      </w:r>
      <w:r w:rsidR="00415C25" w:rsidRPr="00D7249C">
        <w:rPr>
          <w:rFonts w:asciiTheme="majorHAnsi" w:hAnsiTheme="majorHAnsi" w:cstheme="majorHAnsi"/>
          <w:sz w:val="22"/>
          <w:szCs w:val="22"/>
          <w:lang w:val="en-GB"/>
        </w:rPr>
        <w:t>.</w:t>
      </w:r>
    </w:p>
    <w:p w14:paraId="54A23621" w14:textId="77777777" w:rsidR="00415C25" w:rsidRPr="00D7249C" w:rsidRDefault="00415C25" w:rsidP="00415C25">
      <w:pPr>
        <w:pStyle w:val="ListParagraph"/>
        <w:numPr>
          <w:ilvl w:val="0"/>
          <w:numId w:val="19"/>
        </w:numPr>
        <w:spacing w:line="276" w:lineRule="auto"/>
        <w:jc w:val="both"/>
        <w:rPr>
          <w:rFonts w:asciiTheme="majorHAnsi" w:hAnsiTheme="majorHAnsi" w:cstheme="majorHAnsi"/>
          <w:sz w:val="22"/>
          <w:szCs w:val="22"/>
          <w:lang w:val="en-GB"/>
        </w:rPr>
      </w:pPr>
      <w:r w:rsidRPr="00D7249C">
        <w:rPr>
          <w:rFonts w:asciiTheme="majorHAnsi" w:hAnsiTheme="majorHAnsi" w:cstheme="majorHAnsi"/>
          <w:sz w:val="22"/>
          <w:szCs w:val="22"/>
          <w:lang w:val="en-GB"/>
        </w:rPr>
        <w:t xml:space="preserve">Scope 2: </w:t>
      </w:r>
    </w:p>
    <w:p w14:paraId="4AFCADEA" w14:textId="7D1B90AF" w:rsidR="00415C25" w:rsidRPr="00D7249C" w:rsidRDefault="00415C25" w:rsidP="00BB0742">
      <w:pPr>
        <w:pStyle w:val="ListParagraph"/>
        <w:numPr>
          <w:ilvl w:val="1"/>
          <w:numId w:val="19"/>
        </w:numPr>
        <w:spacing w:line="276" w:lineRule="auto"/>
        <w:jc w:val="both"/>
        <w:rPr>
          <w:rFonts w:asciiTheme="majorHAnsi" w:hAnsiTheme="majorHAnsi" w:cstheme="majorHAnsi"/>
          <w:sz w:val="22"/>
          <w:szCs w:val="22"/>
          <w:lang w:val="en-GB"/>
        </w:rPr>
      </w:pPr>
      <w:r w:rsidRPr="00D7249C">
        <w:rPr>
          <w:rFonts w:asciiTheme="majorHAnsi" w:hAnsiTheme="majorHAnsi" w:cstheme="majorHAnsi"/>
          <w:sz w:val="22"/>
          <w:szCs w:val="22"/>
          <w:lang w:val="en-GB"/>
        </w:rPr>
        <w:t xml:space="preserve">Electricity and </w:t>
      </w:r>
      <w:r w:rsidRPr="00D7249C">
        <w:rPr>
          <w:rFonts w:asciiTheme="majorHAnsi" w:hAnsiTheme="majorHAnsi" w:cstheme="majorHAnsi"/>
          <w:sz w:val="22"/>
          <w:szCs w:val="22"/>
          <w:lang w:val="en-GB"/>
        </w:rPr>
        <w:t>district heating</w:t>
      </w:r>
      <w:r w:rsidRPr="00D7249C">
        <w:rPr>
          <w:rFonts w:asciiTheme="majorHAnsi" w:hAnsiTheme="majorHAnsi" w:cstheme="majorHAnsi"/>
          <w:sz w:val="22"/>
          <w:szCs w:val="22"/>
          <w:lang w:val="en-GB"/>
        </w:rPr>
        <w:t xml:space="preserve">: </w:t>
      </w:r>
      <w:proofErr w:type="spellStart"/>
      <w:r w:rsidRPr="00D7249C">
        <w:rPr>
          <w:rFonts w:asciiTheme="majorHAnsi" w:hAnsiTheme="majorHAnsi" w:cstheme="majorHAnsi"/>
          <w:sz w:val="22"/>
          <w:szCs w:val="22"/>
          <w:lang w:val="en-GB"/>
        </w:rPr>
        <w:t>ProCon’s</w:t>
      </w:r>
      <w:proofErr w:type="spellEnd"/>
      <w:r w:rsidRPr="00D7249C">
        <w:rPr>
          <w:rFonts w:asciiTheme="majorHAnsi" w:hAnsiTheme="majorHAnsi" w:cstheme="majorHAnsi"/>
          <w:sz w:val="22"/>
          <w:szCs w:val="22"/>
          <w:lang w:val="en-GB"/>
        </w:rPr>
        <w:t xml:space="preserve"> consumption of e</w:t>
      </w:r>
      <w:r w:rsidRPr="00D7249C">
        <w:rPr>
          <w:rFonts w:asciiTheme="majorHAnsi" w:hAnsiTheme="majorHAnsi" w:cstheme="majorHAnsi"/>
          <w:sz w:val="22"/>
          <w:szCs w:val="22"/>
          <w:lang w:val="en-GB"/>
        </w:rPr>
        <w:t>lectricity and district heating</w:t>
      </w:r>
      <w:r w:rsidRPr="00D7249C">
        <w:rPr>
          <w:rFonts w:asciiTheme="majorHAnsi" w:hAnsiTheme="majorHAnsi" w:cstheme="majorHAnsi"/>
          <w:sz w:val="22"/>
          <w:szCs w:val="22"/>
          <w:lang w:val="en-GB"/>
        </w:rPr>
        <w:t xml:space="preserve"> are </w:t>
      </w:r>
      <w:r w:rsidR="009B5A24">
        <w:rPr>
          <w:rFonts w:asciiTheme="majorHAnsi" w:hAnsiTheme="majorHAnsi" w:cstheme="majorHAnsi"/>
          <w:sz w:val="22"/>
          <w:szCs w:val="22"/>
          <w:lang w:val="en-GB"/>
        </w:rPr>
        <w:t>reported</w:t>
      </w:r>
      <w:r w:rsidRPr="00D7249C">
        <w:rPr>
          <w:rFonts w:asciiTheme="majorHAnsi" w:hAnsiTheme="majorHAnsi" w:cstheme="majorHAnsi"/>
          <w:sz w:val="22"/>
          <w:szCs w:val="22"/>
          <w:lang w:val="en-GB"/>
        </w:rPr>
        <w:t xml:space="preserve"> in </w:t>
      </w:r>
      <w:proofErr w:type="spellStart"/>
      <w:r w:rsidRPr="00D7249C">
        <w:rPr>
          <w:rFonts w:asciiTheme="majorHAnsi" w:hAnsiTheme="majorHAnsi" w:cstheme="majorHAnsi"/>
          <w:sz w:val="22"/>
          <w:szCs w:val="22"/>
          <w:lang w:val="en-GB"/>
        </w:rPr>
        <w:t>KWh</w:t>
      </w:r>
      <w:proofErr w:type="spellEnd"/>
      <w:r w:rsidRPr="00D7249C">
        <w:rPr>
          <w:rFonts w:asciiTheme="majorHAnsi" w:hAnsiTheme="majorHAnsi" w:cstheme="majorHAnsi"/>
          <w:sz w:val="22"/>
          <w:szCs w:val="22"/>
          <w:lang w:val="en-GB"/>
        </w:rPr>
        <w:t xml:space="preserve"> and MWh.</w:t>
      </w:r>
      <w:r w:rsidR="00537F73" w:rsidRPr="00D7249C">
        <w:rPr>
          <w:rFonts w:asciiTheme="majorHAnsi" w:hAnsiTheme="majorHAnsi" w:cstheme="majorHAnsi"/>
          <w:sz w:val="22"/>
          <w:szCs w:val="22"/>
        </w:rPr>
        <w:t xml:space="preserve"> </w:t>
      </w:r>
      <w:r w:rsidR="00537F73" w:rsidRPr="00D7249C">
        <w:rPr>
          <w:rFonts w:asciiTheme="majorHAnsi" w:hAnsiTheme="majorHAnsi" w:cstheme="majorHAnsi"/>
          <w:sz w:val="22"/>
          <w:szCs w:val="22"/>
        </w:rPr>
        <w:t xml:space="preserve">For the 2023 GHG inventory, only scope 2 emissions from the Danish locations have been included, due to lack of readily available data from </w:t>
      </w:r>
      <w:proofErr w:type="spellStart"/>
      <w:r w:rsidR="00537F73" w:rsidRPr="00D7249C">
        <w:rPr>
          <w:rFonts w:asciiTheme="majorHAnsi" w:hAnsiTheme="majorHAnsi" w:cstheme="majorHAnsi"/>
          <w:sz w:val="22"/>
          <w:szCs w:val="22"/>
        </w:rPr>
        <w:t>ProCon</w:t>
      </w:r>
      <w:proofErr w:type="spellEnd"/>
      <w:r w:rsidR="00537F73" w:rsidRPr="00D7249C">
        <w:rPr>
          <w:rFonts w:asciiTheme="majorHAnsi" w:hAnsiTheme="majorHAnsi" w:cstheme="majorHAnsi"/>
          <w:sz w:val="22"/>
          <w:szCs w:val="22"/>
        </w:rPr>
        <w:t xml:space="preserve"> TW and assessed insignificant emissions from PWE UK</w:t>
      </w:r>
      <w:r w:rsidR="00BB0742" w:rsidRPr="00D7249C">
        <w:rPr>
          <w:rFonts w:asciiTheme="majorHAnsi" w:hAnsiTheme="majorHAnsi" w:cstheme="majorHAnsi"/>
          <w:sz w:val="22"/>
          <w:szCs w:val="22"/>
          <w:lang w:val="en-GB"/>
        </w:rPr>
        <w:t>.</w:t>
      </w:r>
    </w:p>
    <w:p w14:paraId="296C6C40" w14:textId="3A954181" w:rsidR="00835371" w:rsidRPr="00D7249C" w:rsidRDefault="00BB0742" w:rsidP="00BB0742">
      <w:pPr>
        <w:pStyle w:val="ListParagraph"/>
        <w:spacing w:line="276" w:lineRule="auto"/>
        <w:ind w:left="1440"/>
        <w:jc w:val="both"/>
        <w:rPr>
          <w:rFonts w:asciiTheme="majorHAnsi" w:hAnsiTheme="majorHAnsi" w:cstheme="majorHAnsi"/>
          <w:sz w:val="22"/>
          <w:szCs w:val="22"/>
          <w:lang w:val="en-DK"/>
        </w:rPr>
      </w:pPr>
      <w:r w:rsidRPr="00D7249C">
        <w:rPr>
          <w:rFonts w:asciiTheme="majorHAnsi" w:hAnsiTheme="majorHAnsi" w:cstheme="majorHAnsi"/>
          <w:sz w:val="22"/>
          <w:szCs w:val="22"/>
          <w:lang w:val="en-GB"/>
        </w:rPr>
        <w:t xml:space="preserve">Unfortunately, it has not been possible to obtain the actual consumed units in 2023. Therefore, </w:t>
      </w:r>
      <w:r w:rsidRPr="00D7249C">
        <w:rPr>
          <w:rFonts w:asciiTheme="majorHAnsi" w:hAnsiTheme="majorHAnsi" w:cstheme="majorHAnsi"/>
          <w:sz w:val="22"/>
          <w:szCs w:val="22"/>
          <w:lang w:val="en"/>
        </w:rPr>
        <w:t xml:space="preserve">consumption units </w:t>
      </w:r>
      <w:r w:rsidRPr="00D7249C">
        <w:rPr>
          <w:rFonts w:asciiTheme="majorHAnsi" w:hAnsiTheme="majorHAnsi" w:cstheme="majorHAnsi"/>
          <w:sz w:val="22"/>
          <w:szCs w:val="22"/>
          <w:lang w:val="en"/>
        </w:rPr>
        <w:t>have been</w:t>
      </w:r>
      <w:r w:rsidRPr="00D7249C">
        <w:rPr>
          <w:rFonts w:asciiTheme="majorHAnsi" w:hAnsiTheme="majorHAnsi" w:cstheme="majorHAnsi"/>
          <w:sz w:val="22"/>
          <w:szCs w:val="22"/>
          <w:lang w:val="en"/>
        </w:rPr>
        <w:t xml:space="preserve"> </w:t>
      </w:r>
      <w:r w:rsidRPr="00D7249C">
        <w:rPr>
          <w:rFonts w:asciiTheme="majorHAnsi" w:hAnsiTheme="majorHAnsi" w:cstheme="majorHAnsi"/>
          <w:sz w:val="22"/>
          <w:szCs w:val="22"/>
          <w:lang w:val="en"/>
        </w:rPr>
        <w:t>estimated</w:t>
      </w:r>
      <w:r w:rsidRPr="00D7249C">
        <w:rPr>
          <w:rFonts w:asciiTheme="majorHAnsi" w:hAnsiTheme="majorHAnsi" w:cstheme="majorHAnsi"/>
          <w:sz w:val="22"/>
          <w:szCs w:val="22"/>
          <w:lang w:val="en"/>
        </w:rPr>
        <w:t xml:space="preserve"> </w:t>
      </w:r>
      <w:r w:rsidRPr="00D7249C">
        <w:rPr>
          <w:rFonts w:asciiTheme="majorHAnsi" w:hAnsiTheme="majorHAnsi" w:cstheme="majorHAnsi"/>
          <w:sz w:val="22"/>
          <w:szCs w:val="22"/>
          <w:lang w:val="en"/>
        </w:rPr>
        <w:t>based on</w:t>
      </w:r>
      <w:r w:rsidRPr="00D7249C">
        <w:rPr>
          <w:rFonts w:asciiTheme="majorHAnsi" w:hAnsiTheme="majorHAnsi" w:cstheme="majorHAnsi"/>
          <w:sz w:val="22"/>
          <w:szCs w:val="22"/>
          <w:lang w:val="en"/>
        </w:rPr>
        <w:t xml:space="preserve"> advance payments</w:t>
      </w:r>
      <w:r w:rsidRPr="00D7249C">
        <w:rPr>
          <w:rFonts w:asciiTheme="majorHAnsi" w:hAnsiTheme="majorHAnsi" w:cstheme="majorHAnsi"/>
          <w:sz w:val="22"/>
          <w:szCs w:val="22"/>
          <w:lang w:val="en"/>
        </w:rPr>
        <w:t xml:space="preserve">. </w:t>
      </w:r>
      <w:bookmarkStart w:id="5" w:name="_Hlk164238010"/>
    </w:p>
    <w:bookmarkEnd w:id="5"/>
    <w:p w14:paraId="33BA775E" w14:textId="1C9399E6" w:rsidR="00135E9D" w:rsidRPr="00D7249C" w:rsidRDefault="00135E9D" w:rsidP="003315CD">
      <w:pPr>
        <w:pStyle w:val="ListParagraph"/>
        <w:numPr>
          <w:ilvl w:val="0"/>
          <w:numId w:val="17"/>
        </w:numPr>
        <w:spacing w:line="276" w:lineRule="auto"/>
        <w:jc w:val="both"/>
        <w:rPr>
          <w:rFonts w:asciiTheme="majorHAnsi" w:hAnsiTheme="majorHAnsi" w:cstheme="majorHAnsi"/>
          <w:sz w:val="22"/>
          <w:szCs w:val="22"/>
          <w:lang w:val="da-DK"/>
        </w:rPr>
      </w:pPr>
      <w:proofErr w:type="spellStart"/>
      <w:r w:rsidRPr="00D7249C">
        <w:rPr>
          <w:rFonts w:asciiTheme="majorHAnsi" w:hAnsiTheme="majorHAnsi" w:cstheme="majorHAnsi"/>
          <w:sz w:val="22"/>
          <w:szCs w:val="22"/>
          <w:lang w:val="da-DK"/>
        </w:rPr>
        <w:t>Scope</w:t>
      </w:r>
      <w:proofErr w:type="spellEnd"/>
      <w:r w:rsidRPr="00D7249C">
        <w:rPr>
          <w:rFonts w:asciiTheme="majorHAnsi" w:hAnsiTheme="majorHAnsi" w:cstheme="majorHAnsi"/>
          <w:sz w:val="22"/>
          <w:szCs w:val="22"/>
          <w:lang w:val="da-DK"/>
        </w:rPr>
        <w:t xml:space="preserve"> 3: </w:t>
      </w:r>
    </w:p>
    <w:p w14:paraId="1B2090F4" w14:textId="13636F8B" w:rsidR="00BB0742" w:rsidRPr="00D7249C" w:rsidRDefault="00135E9D" w:rsidP="00F055AE">
      <w:pPr>
        <w:pStyle w:val="ListParagraph"/>
        <w:numPr>
          <w:ilvl w:val="1"/>
          <w:numId w:val="17"/>
        </w:numPr>
        <w:spacing w:line="276" w:lineRule="auto"/>
        <w:jc w:val="both"/>
        <w:rPr>
          <w:rFonts w:asciiTheme="majorHAnsi" w:hAnsiTheme="majorHAnsi" w:cstheme="majorHAnsi"/>
          <w:sz w:val="22"/>
          <w:szCs w:val="22"/>
          <w:lang w:val="en-GB"/>
        </w:rPr>
      </w:pPr>
      <w:r w:rsidRPr="00D7249C">
        <w:rPr>
          <w:rFonts w:asciiTheme="majorHAnsi" w:hAnsiTheme="majorHAnsi" w:cstheme="majorHAnsi"/>
          <w:sz w:val="22"/>
          <w:szCs w:val="22"/>
          <w:lang w:val="en-GB"/>
        </w:rPr>
        <w:t>Material</w:t>
      </w:r>
      <w:r w:rsidR="00BB0742" w:rsidRPr="00D7249C">
        <w:rPr>
          <w:rFonts w:asciiTheme="majorHAnsi" w:hAnsiTheme="majorHAnsi" w:cstheme="majorHAnsi"/>
          <w:sz w:val="22"/>
          <w:szCs w:val="22"/>
          <w:lang w:val="en-GB"/>
        </w:rPr>
        <w:t>s</w:t>
      </w:r>
      <w:r w:rsidR="00CB1BC0" w:rsidRPr="00D7249C">
        <w:rPr>
          <w:rFonts w:asciiTheme="majorHAnsi" w:hAnsiTheme="majorHAnsi" w:cstheme="majorHAnsi"/>
          <w:sz w:val="22"/>
          <w:szCs w:val="22"/>
          <w:lang w:val="en-GB"/>
        </w:rPr>
        <w:t>:</w:t>
      </w:r>
      <w:r w:rsidR="00C9013E" w:rsidRPr="00D7249C">
        <w:t xml:space="preserve"> </w:t>
      </w:r>
      <w:r w:rsidR="00BB0742" w:rsidRPr="00D7249C">
        <w:rPr>
          <w:rFonts w:asciiTheme="majorHAnsi" w:hAnsiTheme="majorHAnsi" w:cstheme="majorHAnsi"/>
          <w:sz w:val="22"/>
          <w:szCs w:val="22"/>
          <w:lang w:val="en-GB"/>
        </w:rPr>
        <w:t xml:space="preserve">For purchased lamps and </w:t>
      </w:r>
      <w:r w:rsidR="00BB0742" w:rsidRPr="00D7249C">
        <w:rPr>
          <w:rFonts w:asciiTheme="majorHAnsi" w:hAnsiTheme="majorHAnsi" w:cstheme="majorHAnsi"/>
          <w:sz w:val="22"/>
          <w:szCs w:val="22"/>
          <w:lang w:val="en-GB"/>
        </w:rPr>
        <w:t>electrical panel</w:t>
      </w:r>
      <w:r w:rsidR="00C9013E" w:rsidRPr="00D7249C">
        <w:rPr>
          <w:rFonts w:asciiTheme="majorHAnsi" w:hAnsiTheme="majorHAnsi" w:cstheme="majorHAnsi"/>
          <w:sz w:val="22"/>
          <w:szCs w:val="22"/>
          <w:lang w:val="en-GB"/>
        </w:rPr>
        <w:t xml:space="preserve">s </w:t>
      </w:r>
      <w:r w:rsidR="00C9013E" w:rsidRPr="00D7249C">
        <w:rPr>
          <w:rFonts w:asciiTheme="majorHAnsi" w:hAnsiTheme="majorHAnsi" w:cstheme="majorHAnsi"/>
          <w:sz w:val="22"/>
          <w:szCs w:val="22"/>
          <w:lang w:val="en-GB"/>
        </w:rPr>
        <w:t>representative emission factor</w:t>
      </w:r>
      <w:r w:rsidR="00C9013E" w:rsidRPr="00D7249C">
        <w:rPr>
          <w:rFonts w:asciiTheme="majorHAnsi" w:hAnsiTheme="majorHAnsi" w:cstheme="majorHAnsi"/>
          <w:sz w:val="22"/>
          <w:szCs w:val="22"/>
          <w:lang w:val="en-GB"/>
        </w:rPr>
        <w:t xml:space="preserve"> for comparable products are</w:t>
      </w:r>
      <w:r w:rsidR="00C9013E" w:rsidRPr="00D7249C">
        <w:rPr>
          <w:rFonts w:asciiTheme="majorHAnsi" w:hAnsiTheme="majorHAnsi" w:cstheme="majorHAnsi"/>
          <w:sz w:val="22"/>
          <w:szCs w:val="22"/>
          <w:lang w:val="en-GB"/>
        </w:rPr>
        <w:t xml:space="preserve"> used</w:t>
      </w:r>
      <w:r w:rsidR="00C9013E" w:rsidRPr="00D7249C">
        <w:rPr>
          <w:rFonts w:asciiTheme="majorHAnsi" w:hAnsiTheme="majorHAnsi" w:cstheme="majorHAnsi"/>
          <w:sz w:val="22"/>
          <w:szCs w:val="22"/>
          <w:lang w:val="en-GB"/>
        </w:rPr>
        <w:t>.</w:t>
      </w:r>
      <w:r w:rsidR="00C9013E" w:rsidRPr="00D7249C">
        <w:rPr>
          <w:rFonts w:asciiTheme="majorHAnsi" w:hAnsiTheme="majorHAnsi" w:cstheme="majorHAnsi"/>
          <w:sz w:val="22"/>
          <w:szCs w:val="22"/>
          <w:lang w:val="en-GB"/>
        </w:rPr>
        <w:t xml:space="preserve">  </w:t>
      </w:r>
    </w:p>
    <w:p w14:paraId="39230E55" w14:textId="7DFBAD0E" w:rsidR="00F055AE" w:rsidRPr="00D7249C" w:rsidRDefault="00C9013E" w:rsidP="00C9013E">
      <w:pPr>
        <w:pStyle w:val="ListParagraph"/>
        <w:spacing w:line="276" w:lineRule="auto"/>
        <w:ind w:left="1440"/>
        <w:jc w:val="both"/>
        <w:rPr>
          <w:rFonts w:asciiTheme="majorHAnsi" w:hAnsiTheme="majorHAnsi" w:cstheme="majorHAnsi"/>
          <w:sz w:val="22"/>
          <w:szCs w:val="22"/>
          <w:lang w:val="en-GB"/>
        </w:rPr>
      </w:pPr>
      <w:r w:rsidRPr="00D7249C">
        <w:rPr>
          <w:rFonts w:asciiTheme="majorHAnsi" w:hAnsiTheme="majorHAnsi" w:cstheme="majorHAnsi"/>
          <w:sz w:val="22"/>
          <w:szCs w:val="22"/>
          <w:lang w:val="en-GB"/>
        </w:rPr>
        <w:t>For purchased</w:t>
      </w:r>
      <w:r w:rsidRPr="00D7249C">
        <w:rPr>
          <w:rFonts w:asciiTheme="majorHAnsi" w:hAnsiTheme="majorHAnsi" w:cstheme="majorHAnsi"/>
          <w:sz w:val="22"/>
          <w:szCs w:val="22"/>
          <w:lang w:val="en-GB"/>
        </w:rPr>
        <w:t xml:space="preserve"> tools – hand tools an</w:t>
      </w:r>
      <w:r w:rsidR="0068385A" w:rsidRPr="00D7249C">
        <w:rPr>
          <w:rFonts w:asciiTheme="majorHAnsi" w:hAnsiTheme="majorHAnsi" w:cstheme="majorHAnsi"/>
          <w:sz w:val="22"/>
          <w:szCs w:val="22"/>
          <w:lang w:val="en-GB"/>
        </w:rPr>
        <w:t>d</w:t>
      </w:r>
      <w:r w:rsidRPr="00D7249C">
        <w:rPr>
          <w:rFonts w:asciiTheme="majorHAnsi" w:hAnsiTheme="majorHAnsi" w:cstheme="majorHAnsi"/>
          <w:sz w:val="22"/>
          <w:szCs w:val="22"/>
          <w:lang w:val="en-GB"/>
        </w:rPr>
        <w:t xml:space="preserve"> power tools/machines, </w:t>
      </w:r>
      <w:r w:rsidRPr="00D7249C">
        <w:rPr>
          <w:rFonts w:asciiTheme="majorHAnsi" w:hAnsiTheme="majorHAnsi" w:cstheme="majorHAnsi"/>
          <w:sz w:val="22"/>
          <w:szCs w:val="22"/>
          <w:lang w:val="en-GB"/>
        </w:rPr>
        <w:t>representative emission factor</w:t>
      </w:r>
      <w:r w:rsidR="009B5A24">
        <w:rPr>
          <w:rFonts w:asciiTheme="majorHAnsi" w:hAnsiTheme="majorHAnsi" w:cstheme="majorHAnsi"/>
          <w:sz w:val="22"/>
          <w:szCs w:val="22"/>
          <w:lang w:val="en-GB"/>
        </w:rPr>
        <w:t>s</w:t>
      </w:r>
      <w:r w:rsidRPr="00D7249C">
        <w:rPr>
          <w:rFonts w:asciiTheme="majorHAnsi" w:hAnsiTheme="majorHAnsi" w:cstheme="majorHAnsi"/>
          <w:sz w:val="22"/>
          <w:szCs w:val="22"/>
          <w:lang w:val="en-GB"/>
        </w:rPr>
        <w:t xml:space="preserve"> </w:t>
      </w:r>
      <w:r w:rsidR="0068385A" w:rsidRPr="00D7249C">
        <w:rPr>
          <w:rFonts w:asciiTheme="majorHAnsi" w:hAnsiTheme="majorHAnsi" w:cstheme="majorHAnsi"/>
          <w:sz w:val="22"/>
          <w:szCs w:val="22"/>
          <w:lang w:val="en-GB"/>
        </w:rPr>
        <w:t>from</w:t>
      </w:r>
      <w:r w:rsidRPr="00D7249C">
        <w:rPr>
          <w:rFonts w:asciiTheme="majorHAnsi" w:hAnsiTheme="majorHAnsi" w:cstheme="majorHAnsi"/>
          <w:sz w:val="22"/>
          <w:szCs w:val="22"/>
          <w:lang w:val="en-GB"/>
        </w:rPr>
        <w:t xml:space="preserve"> databases </w:t>
      </w:r>
      <w:r w:rsidR="009B5A24">
        <w:rPr>
          <w:rFonts w:asciiTheme="majorHAnsi" w:hAnsiTheme="majorHAnsi" w:cstheme="majorHAnsi"/>
          <w:sz w:val="22"/>
          <w:szCs w:val="22"/>
          <w:lang w:val="en-GB"/>
        </w:rPr>
        <w:t>are</w:t>
      </w:r>
      <w:r w:rsidR="0068385A" w:rsidRPr="00D7249C">
        <w:rPr>
          <w:rFonts w:asciiTheme="majorHAnsi" w:hAnsiTheme="majorHAnsi" w:cstheme="majorHAnsi"/>
          <w:sz w:val="22"/>
          <w:szCs w:val="22"/>
          <w:lang w:val="en-GB"/>
        </w:rPr>
        <w:t xml:space="preserve"> used </w:t>
      </w:r>
      <w:r w:rsidRPr="00D7249C">
        <w:rPr>
          <w:rFonts w:asciiTheme="majorHAnsi" w:hAnsiTheme="majorHAnsi" w:cstheme="majorHAnsi"/>
          <w:sz w:val="22"/>
          <w:szCs w:val="22"/>
          <w:lang w:val="en-GB"/>
        </w:rPr>
        <w:t xml:space="preserve">since these are not </w:t>
      </w:r>
      <w:r w:rsidRPr="00D7249C">
        <w:rPr>
          <w:rFonts w:asciiTheme="majorHAnsi" w:hAnsiTheme="majorHAnsi" w:cstheme="majorHAnsi"/>
          <w:sz w:val="22"/>
          <w:szCs w:val="22"/>
          <w:lang w:val="en-GB"/>
        </w:rPr>
        <w:t>available</w:t>
      </w:r>
      <w:r w:rsidRPr="00D7249C">
        <w:rPr>
          <w:rFonts w:asciiTheme="majorHAnsi" w:hAnsiTheme="majorHAnsi" w:cstheme="majorHAnsi"/>
          <w:sz w:val="22"/>
          <w:szCs w:val="22"/>
          <w:lang w:val="en-GB"/>
        </w:rPr>
        <w:t xml:space="preserve"> in </w:t>
      </w:r>
      <w:proofErr w:type="spellStart"/>
      <w:r w:rsidRPr="00D7249C">
        <w:rPr>
          <w:rFonts w:asciiTheme="majorHAnsi" w:hAnsiTheme="majorHAnsi" w:cstheme="majorHAnsi"/>
          <w:sz w:val="22"/>
          <w:szCs w:val="22"/>
          <w:lang w:val="en-GB"/>
        </w:rPr>
        <w:t>Klimakompasset</w:t>
      </w:r>
      <w:proofErr w:type="spellEnd"/>
      <w:r w:rsidRPr="00D7249C">
        <w:rPr>
          <w:rFonts w:asciiTheme="majorHAnsi" w:hAnsiTheme="majorHAnsi" w:cstheme="majorHAnsi"/>
          <w:sz w:val="22"/>
          <w:szCs w:val="22"/>
          <w:lang w:val="en-GB"/>
        </w:rPr>
        <w:t>.</w:t>
      </w:r>
    </w:p>
    <w:p w14:paraId="54CCB682" w14:textId="147F5AA8" w:rsidR="00C9013E" w:rsidRPr="00D7249C" w:rsidRDefault="00C9013E" w:rsidP="00C9013E">
      <w:pPr>
        <w:pStyle w:val="ListParagraph"/>
        <w:numPr>
          <w:ilvl w:val="1"/>
          <w:numId w:val="17"/>
        </w:numPr>
        <w:spacing w:line="276" w:lineRule="auto"/>
        <w:jc w:val="both"/>
        <w:rPr>
          <w:rFonts w:asciiTheme="majorHAnsi" w:hAnsiTheme="majorHAnsi" w:cstheme="majorHAnsi"/>
          <w:sz w:val="22"/>
          <w:szCs w:val="22"/>
          <w:lang w:val="en-GB"/>
        </w:rPr>
      </w:pPr>
      <w:r w:rsidRPr="00D7249C">
        <w:rPr>
          <w:rFonts w:asciiTheme="majorHAnsi" w:hAnsiTheme="majorHAnsi" w:cstheme="majorHAnsi"/>
          <w:sz w:val="22"/>
          <w:szCs w:val="22"/>
          <w:lang w:val="en-GB"/>
        </w:rPr>
        <w:t xml:space="preserve">Flight: </w:t>
      </w:r>
      <w:proofErr w:type="spellStart"/>
      <w:r w:rsidRPr="00D7249C">
        <w:rPr>
          <w:rFonts w:asciiTheme="majorHAnsi" w:hAnsiTheme="majorHAnsi" w:cstheme="majorHAnsi"/>
          <w:sz w:val="22"/>
          <w:szCs w:val="22"/>
          <w:lang w:val="en-GB"/>
        </w:rPr>
        <w:t>ProCon</w:t>
      </w:r>
      <w:proofErr w:type="spellEnd"/>
      <w:r w:rsidRPr="00D7249C">
        <w:rPr>
          <w:rFonts w:asciiTheme="majorHAnsi" w:hAnsiTheme="majorHAnsi" w:cstheme="majorHAnsi"/>
          <w:sz w:val="22"/>
          <w:szCs w:val="22"/>
          <w:lang w:val="en-GB"/>
        </w:rPr>
        <w:t xml:space="preserve"> purchases flight</w:t>
      </w:r>
      <w:r w:rsidR="009B5A24">
        <w:rPr>
          <w:rFonts w:asciiTheme="majorHAnsi" w:hAnsiTheme="majorHAnsi" w:cstheme="majorHAnsi"/>
          <w:sz w:val="22"/>
          <w:szCs w:val="22"/>
          <w:lang w:val="en-GB"/>
        </w:rPr>
        <w:t xml:space="preserve"> </w:t>
      </w:r>
      <w:r w:rsidR="0068385A" w:rsidRPr="00D7249C">
        <w:rPr>
          <w:rFonts w:asciiTheme="majorHAnsi" w:hAnsiTheme="majorHAnsi" w:cstheme="majorHAnsi"/>
          <w:sz w:val="22"/>
          <w:szCs w:val="22"/>
          <w:lang w:val="en-GB"/>
        </w:rPr>
        <w:t>tickets</w:t>
      </w:r>
      <w:r w:rsidRPr="00D7249C">
        <w:rPr>
          <w:rFonts w:asciiTheme="majorHAnsi" w:hAnsiTheme="majorHAnsi" w:cstheme="majorHAnsi"/>
          <w:sz w:val="22"/>
          <w:szCs w:val="22"/>
          <w:lang w:val="en-GB"/>
        </w:rPr>
        <w:t xml:space="preserve"> through an agency as well as directly at the airlines. The agency provides a report of the Co2-emission related to the fligh</w:t>
      </w:r>
      <w:r w:rsidR="005101E6" w:rsidRPr="00D7249C">
        <w:rPr>
          <w:rFonts w:asciiTheme="majorHAnsi" w:hAnsiTheme="majorHAnsi" w:cstheme="majorHAnsi"/>
          <w:sz w:val="22"/>
          <w:szCs w:val="22"/>
          <w:lang w:val="en-GB"/>
        </w:rPr>
        <w:t>t</w:t>
      </w:r>
      <w:r w:rsidRPr="00D7249C">
        <w:rPr>
          <w:rFonts w:asciiTheme="majorHAnsi" w:hAnsiTheme="majorHAnsi" w:cstheme="majorHAnsi"/>
          <w:sz w:val="22"/>
          <w:szCs w:val="22"/>
          <w:lang w:val="en-GB"/>
        </w:rPr>
        <w:t xml:space="preserve">s </w:t>
      </w:r>
      <w:r w:rsidR="005101E6" w:rsidRPr="00D7249C">
        <w:rPr>
          <w:rFonts w:asciiTheme="majorHAnsi" w:hAnsiTheme="majorHAnsi" w:cstheme="majorHAnsi"/>
          <w:sz w:val="22"/>
          <w:szCs w:val="22"/>
          <w:lang w:val="en-GB"/>
        </w:rPr>
        <w:t>purchased</w:t>
      </w:r>
      <w:r w:rsidRPr="00D7249C">
        <w:rPr>
          <w:rFonts w:asciiTheme="majorHAnsi" w:hAnsiTheme="majorHAnsi" w:cstheme="majorHAnsi"/>
          <w:sz w:val="22"/>
          <w:szCs w:val="22"/>
          <w:lang w:val="en-GB"/>
        </w:rPr>
        <w:t xml:space="preserve"> through them. </w:t>
      </w:r>
      <w:r w:rsidR="005101E6" w:rsidRPr="00D7249C">
        <w:rPr>
          <w:rFonts w:asciiTheme="majorHAnsi" w:hAnsiTheme="majorHAnsi" w:cstheme="majorHAnsi"/>
          <w:sz w:val="22"/>
          <w:szCs w:val="22"/>
          <w:lang w:val="en-GB"/>
        </w:rPr>
        <w:t xml:space="preserve"> This data has been used to estimate an emission factor per. spent DKK, which </w:t>
      </w:r>
      <w:r w:rsidR="005101E6" w:rsidRPr="00D7249C">
        <w:rPr>
          <w:rFonts w:asciiTheme="majorHAnsi" w:hAnsiTheme="majorHAnsi" w:cstheme="majorHAnsi"/>
          <w:sz w:val="22"/>
          <w:szCs w:val="22"/>
          <w:lang w:val="en-GB"/>
        </w:rPr>
        <w:t>subsequent</w:t>
      </w:r>
      <w:r w:rsidR="005101E6" w:rsidRPr="00D7249C">
        <w:rPr>
          <w:rFonts w:asciiTheme="majorHAnsi" w:hAnsiTheme="majorHAnsi" w:cstheme="majorHAnsi"/>
          <w:sz w:val="22"/>
          <w:szCs w:val="22"/>
          <w:lang w:val="en-GB"/>
        </w:rPr>
        <w:t xml:space="preserve"> has b</w:t>
      </w:r>
      <w:r w:rsidR="009B5A24">
        <w:rPr>
          <w:rFonts w:asciiTheme="majorHAnsi" w:hAnsiTheme="majorHAnsi" w:cstheme="majorHAnsi"/>
          <w:sz w:val="22"/>
          <w:szCs w:val="22"/>
          <w:lang w:val="en-GB"/>
        </w:rPr>
        <w:t>e</w:t>
      </w:r>
      <w:r w:rsidR="005101E6" w:rsidRPr="00D7249C">
        <w:rPr>
          <w:rFonts w:asciiTheme="majorHAnsi" w:hAnsiTheme="majorHAnsi" w:cstheme="majorHAnsi"/>
          <w:sz w:val="22"/>
          <w:szCs w:val="22"/>
          <w:lang w:val="en-GB"/>
        </w:rPr>
        <w:t xml:space="preserve">en used to estimate the </w:t>
      </w:r>
      <w:r w:rsidR="005101E6" w:rsidRPr="00D7249C">
        <w:rPr>
          <w:rFonts w:asciiTheme="majorHAnsi" w:hAnsiTheme="majorHAnsi" w:cstheme="majorHAnsi"/>
          <w:sz w:val="22"/>
          <w:szCs w:val="22"/>
          <w:lang w:val="en-GB"/>
        </w:rPr>
        <w:t>emission</w:t>
      </w:r>
      <w:r w:rsidR="005101E6" w:rsidRPr="00D7249C">
        <w:rPr>
          <w:rFonts w:asciiTheme="majorHAnsi" w:hAnsiTheme="majorHAnsi" w:cstheme="majorHAnsi"/>
          <w:sz w:val="22"/>
          <w:szCs w:val="22"/>
          <w:lang w:val="en-GB"/>
        </w:rPr>
        <w:t xml:space="preserve"> from the flights </w:t>
      </w:r>
      <w:r w:rsidR="009B5A24">
        <w:rPr>
          <w:rFonts w:asciiTheme="majorHAnsi" w:hAnsiTheme="majorHAnsi" w:cstheme="majorHAnsi"/>
          <w:sz w:val="22"/>
          <w:szCs w:val="22"/>
          <w:lang w:val="en-GB"/>
        </w:rPr>
        <w:t>purchased</w:t>
      </w:r>
      <w:r w:rsidR="005101E6" w:rsidRPr="00D7249C">
        <w:rPr>
          <w:rFonts w:asciiTheme="majorHAnsi" w:hAnsiTheme="majorHAnsi" w:cstheme="majorHAnsi"/>
          <w:sz w:val="22"/>
          <w:szCs w:val="22"/>
          <w:lang w:val="en-GB"/>
        </w:rPr>
        <w:t xml:space="preserve"> directly at the airlines. </w:t>
      </w:r>
    </w:p>
    <w:p w14:paraId="5E17551C" w14:textId="5AA675FE" w:rsidR="001A76A9" w:rsidRPr="00AB1A81" w:rsidRDefault="005101E6" w:rsidP="00A07463">
      <w:pPr>
        <w:pStyle w:val="ListParagraph"/>
        <w:numPr>
          <w:ilvl w:val="1"/>
          <w:numId w:val="17"/>
        </w:numPr>
        <w:spacing w:line="276" w:lineRule="auto"/>
        <w:jc w:val="both"/>
        <w:rPr>
          <w:rFonts w:asciiTheme="majorHAnsi" w:hAnsiTheme="majorHAnsi" w:cstheme="majorHAnsi"/>
          <w:sz w:val="22"/>
          <w:szCs w:val="22"/>
          <w:lang w:val="en-DK"/>
        </w:rPr>
      </w:pPr>
      <w:r w:rsidRPr="00D7249C">
        <w:rPr>
          <w:rFonts w:asciiTheme="majorHAnsi" w:hAnsiTheme="majorHAnsi" w:cstheme="majorHAnsi"/>
          <w:sz w:val="22"/>
          <w:szCs w:val="22"/>
          <w:lang w:val="en-GB"/>
        </w:rPr>
        <w:t>Fr</w:t>
      </w:r>
      <w:r w:rsidR="009B5A24">
        <w:rPr>
          <w:rFonts w:asciiTheme="majorHAnsi" w:hAnsiTheme="majorHAnsi" w:cstheme="majorHAnsi"/>
          <w:sz w:val="22"/>
          <w:szCs w:val="22"/>
          <w:lang w:val="en-GB"/>
        </w:rPr>
        <w:t>e</w:t>
      </w:r>
      <w:r w:rsidRPr="00D7249C">
        <w:rPr>
          <w:rFonts w:asciiTheme="majorHAnsi" w:hAnsiTheme="majorHAnsi" w:cstheme="majorHAnsi"/>
          <w:sz w:val="22"/>
          <w:szCs w:val="22"/>
          <w:lang w:val="en-GB"/>
        </w:rPr>
        <w:t>ight: E</w:t>
      </w:r>
      <w:r w:rsidRPr="00D7249C">
        <w:rPr>
          <w:rFonts w:asciiTheme="majorHAnsi" w:hAnsiTheme="majorHAnsi" w:cstheme="majorHAnsi"/>
          <w:sz w:val="22"/>
          <w:szCs w:val="22"/>
          <w:lang w:val="en-GB"/>
        </w:rPr>
        <w:t>mission from</w:t>
      </w:r>
      <w:r w:rsidRPr="00D7249C">
        <w:rPr>
          <w:rFonts w:asciiTheme="majorHAnsi" w:hAnsiTheme="majorHAnsi" w:cstheme="majorHAnsi"/>
          <w:sz w:val="22"/>
          <w:szCs w:val="22"/>
          <w:lang w:val="en-GB"/>
        </w:rPr>
        <w:t xml:space="preserve"> fr</w:t>
      </w:r>
      <w:r w:rsidR="009B5A24">
        <w:rPr>
          <w:rFonts w:asciiTheme="majorHAnsi" w:hAnsiTheme="majorHAnsi" w:cstheme="majorHAnsi"/>
          <w:sz w:val="22"/>
          <w:szCs w:val="22"/>
          <w:lang w:val="en-GB"/>
        </w:rPr>
        <w:t>e</w:t>
      </w:r>
      <w:r w:rsidRPr="00D7249C">
        <w:rPr>
          <w:rFonts w:asciiTheme="majorHAnsi" w:hAnsiTheme="majorHAnsi" w:cstheme="majorHAnsi"/>
          <w:sz w:val="22"/>
          <w:szCs w:val="22"/>
          <w:lang w:val="en-GB"/>
        </w:rPr>
        <w:t xml:space="preserve">ight </w:t>
      </w:r>
      <w:r w:rsidRPr="00D7249C">
        <w:rPr>
          <w:rFonts w:asciiTheme="majorHAnsi" w:hAnsiTheme="majorHAnsi" w:cstheme="majorHAnsi"/>
          <w:sz w:val="22"/>
          <w:szCs w:val="22"/>
          <w:lang w:val="en"/>
        </w:rPr>
        <w:t xml:space="preserve">is calculated proportionately based on </w:t>
      </w:r>
      <w:proofErr w:type="spellStart"/>
      <w:r w:rsidRPr="00D7249C">
        <w:rPr>
          <w:rFonts w:asciiTheme="majorHAnsi" w:hAnsiTheme="majorHAnsi" w:cstheme="majorHAnsi"/>
          <w:sz w:val="22"/>
          <w:szCs w:val="22"/>
          <w:lang w:val="en"/>
        </w:rPr>
        <w:t>ScanGlobal's</w:t>
      </w:r>
      <w:proofErr w:type="spellEnd"/>
      <w:r w:rsidRPr="00D7249C">
        <w:rPr>
          <w:rFonts w:asciiTheme="majorHAnsi" w:hAnsiTheme="majorHAnsi" w:cstheme="majorHAnsi"/>
          <w:sz w:val="22"/>
          <w:szCs w:val="22"/>
          <w:lang w:val="en"/>
        </w:rPr>
        <w:t xml:space="preserve"> emissions from freight distributed per turnover DKK in 2023.</w:t>
      </w:r>
    </w:p>
    <w:p w14:paraId="5A242B76" w14:textId="77777777" w:rsidR="00AB1A81" w:rsidRPr="00AB1A81" w:rsidRDefault="00AB1A81" w:rsidP="00AB1A81">
      <w:pPr>
        <w:spacing w:line="276" w:lineRule="auto"/>
        <w:jc w:val="both"/>
        <w:rPr>
          <w:rFonts w:asciiTheme="majorHAnsi" w:hAnsiTheme="majorHAnsi" w:cstheme="majorHAnsi"/>
          <w:sz w:val="22"/>
          <w:szCs w:val="22"/>
          <w:lang w:val="en-DK"/>
        </w:rPr>
      </w:pPr>
    </w:p>
    <w:p w14:paraId="502B5F71" w14:textId="57686CC3" w:rsidR="0028554D" w:rsidRPr="00AB1A81" w:rsidRDefault="00D626E5" w:rsidP="00A07463">
      <w:pPr>
        <w:pStyle w:val="Heading2"/>
        <w:rPr>
          <w:rFonts w:cstheme="majorHAnsi"/>
          <w:color w:val="auto"/>
          <w:sz w:val="22"/>
          <w:szCs w:val="22"/>
          <w:lang w:val="en-GB"/>
        </w:rPr>
      </w:pPr>
      <w:bookmarkStart w:id="6" w:name="_Toc164244128"/>
      <w:r w:rsidRPr="00AB1A81">
        <w:rPr>
          <w:color w:val="auto"/>
          <w:lang w:val="en-GB"/>
        </w:rPr>
        <w:t>4</w:t>
      </w:r>
      <w:r w:rsidR="00A07463" w:rsidRPr="00AB1A81">
        <w:rPr>
          <w:color w:val="auto"/>
          <w:lang w:val="en-GB"/>
        </w:rPr>
        <w:t xml:space="preserve">. </w:t>
      </w:r>
      <w:r w:rsidR="0028554D" w:rsidRPr="00AB1A81">
        <w:rPr>
          <w:color w:val="auto"/>
          <w:lang w:val="en-GB"/>
        </w:rPr>
        <w:t>Results</w:t>
      </w:r>
      <w:bookmarkEnd w:id="6"/>
    </w:p>
    <w:p w14:paraId="594963AC" w14:textId="77777777" w:rsidR="006D2996" w:rsidRPr="007641FF" w:rsidRDefault="006D2996" w:rsidP="007641FF">
      <w:pPr>
        <w:spacing w:line="276" w:lineRule="auto"/>
        <w:jc w:val="both"/>
        <w:rPr>
          <w:rFonts w:asciiTheme="majorHAnsi" w:hAnsiTheme="majorHAnsi" w:cstheme="majorHAnsi"/>
          <w:sz w:val="22"/>
          <w:szCs w:val="22"/>
        </w:rPr>
      </w:pPr>
    </w:p>
    <w:p w14:paraId="296331B2" w14:textId="61B21CFF" w:rsidR="007641FF" w:rsidRDefault="00FF158C" w:rsidP="007641FF">
      <w:pPr>
        <w:spacing w:line="276" w:lineRule="auto"/>
        <w:jc w:val="both"/>
        <w:rPr>
          <w:rFonts w:asciiTheme="majorHAnsi" w:hAnsiTheme="majorHAnsi" w:cstheme="majorHAnsi"/>
          <w:sz w:val="22"/>
          <w:szCs w:val="22"/>
        </w:rPr>
      </w:pPr>
      <w:r w:rsidRPr="007641FF">
        <w:rPr>
          <w:rFonts w:asciiTheme="majorHAnsi" w:hAnsiTheme="majorHAnsi" w:cstheme="majorHAnsi"/>
          <w:sz w:val="22"/>
          <w:szCs w:val="22"/>
        </w:rPr>
        <w:t xml:space="preserve">The </w:t>
      </w:r>
      <w:r w:rsidR="00431539" w:rsidRPr="007641FF">
        <w:rPr>
          <w:rFonts w:asciiTheme="majorHAnsi" w:hAnsiTheme="majorHAnsi" w:cstheme="majorHAnsi"/>
          <w:sz w:val="22"/>
          <w:szCs w:val="22"/>
        </w:rPr>
        <w:t>result</w:t>
      </w:r>
      <w:r w:rsidR="00894F94" w:rsidRPr="007641FF">
        <w:rPr>
          <w:rFonts w:asciiTheme="majorHAnsi" w:hAnsiTheme="majorHAnsi" w:cstheme="majorHAnsi"/>
          <w:sz w:val="22"/>
          <w:szCs w:val="22"/>
        </w:rPr>
        <w:t xml:space="preserve"> of the</w:t>
      </w:r>
      <w:r w:rsidR="009B5A24">
        <w:rPr>
          <w:rFonts w:asciiTheme="majorHAnsi" w:hAnsiTheme="majorHAnsi" w:cstheme="majorHAnsi"/>
          <w:sz w:val="22"/>
          <w:szCs w:val="22"/>
        </w:rPr>
        <w:t xml:space="preserve"> 2023 GHG</w:t>
      </w:r>
      <w:r w:rsidR="00894F94" w:rsidRPr="007641FF">
        <w:rPr>
          <w:rFonts w:asciiTheme="majorHAnsi" w:hAnsiTheme="majorHAnsi" w:cstheme="majorHAnsi"/>
          <w:sz w:val="22"/>
          <w:szCs w:val="22"/>
        </w:rPr>
        <w:t xml:space="preserve"> inventory is presented in table </w:t>
      </w:r>
      <w:r w:rsidR="00D7249C" w:rsidRPr="007641FF">
        <w:rPr>
          <w:rFonts w:asciiTheme="majorHAnsi" w:hAnsiTheme="majorHAnsi" w:cstheme="majorHAnsi"/>
          <w:sz w:val="22"/>
          <w:szCs w:val="22"/>
        </w:rPr>
        <w:t>2</w:t>
      </w:r>
      <w:r w:rsidR="00E93AC6" w:rsidRPr="007641FF">
        <w:rPr>
          <w:rFonts w:asciiTheme="majorHAnsi" w:hAnsiTheme="majorHAnsi" w:cstheme="majorHAnsi"/>
          <w:sz w:val="22"/>
          <w:szCs w:val="22"/>
        </w:rPr>
        <w:t>.</w:t>
      </w:r>
      <w:r w:rsidR="0028554D" w:rsidRPr="007641FF">
        <w:rPr>
          <w:rFonts w:asciiTheme="majorHAnsi" w:hAnsiTheme="majorHAnsi" w:cstheme="majorHAnsi"/>
          <w:sz w:val="22"/>
          <w:szCs w:val="22"/>
        </w:rPr>
        <w:t xml:space="preserve"> </w:t>
      </w:r>
      <w:r w:rsidR="007641FF" w:rsidRPr="007641FF">
        <w:rPr>
          <w:rFonts w:asciiTheme="majorHAnsi" w:hAnsiTheme="majorHAnsi" w:cstheme="majorHAnsi"/>
          <w:sz w:val="22"/>
          <w:szCs w:val="22"/>
        </w:rPr>
        <w:t>CO2</w:t>
      </w:r>
      <w:r w:rsidR="001C24F3">
        <w:rPr>
          <w:rFonts w:asciiTheme="majorHAnsi" w:hAnsiTheme="majorHAnsi" w:cstheme="majorHAnsi"/>
          <w:sz w:val="22"/>
          <w:szCs w:val="22"/>
        </w:rPr>
        <w:t>e</w:t>
      </w:r>
      <w:r w:rsidR="007641FF" w:rsidRPr="007641FF">
        <w:rPr>
          <w:rFonts w:asciiTheme="majorHAnsi" w:hAnsiTheme="majorHAnsi" w:cstheme="majorHAnsi"/>
          <w:sz w:val="22"/>
          <w:szCs w:val="22"/>
        </w:rPr>
        <w:t>-</w:t>
      </w:r>
      <w:r w:rsidR="007641FF" w:rsidRPr="007641FF">
        <w:rPr>
          <w:rFonts w:asciiTheme="majorHAnsi" w:hAnsiTheme="majorHAnsi" w:cstheme="majorHAnsi"/>
          <w:sz w:val="22"/>
          <w:szCs w:val="22"/>
        </w:rPr>
        <w:t xml:space="preserve">emissions </w:t>
      </w:r>
      <w:r w:rsidR="007641FF" w:rsidRPr="007641FF">
        <w:rPr>
          <w:rFonts w:asciiTheme="majorHAnsi" w:hAnsiTheme="majorHAnsi" w:cstheme="majorHAnsi"/>
          <w:sz w:val="22"/>
          <w:szCs w:val="22"/>
        </w:rPr>
        <w:t>are</w:t>
      </w:r>
      <w:r w:rsidR="007641FF" w:rsidRPr="007641FF">
        <w:rPr>
          <w:rFonts w:asciiTheme="majorHAnsi" w:hAnsiTheme="majorHAnsi" w:cstheme="majorHAnsi"/>
          <w:sz w:val="22"/>
          <w:szCs w:val="22"/>
        </w:rPr>
        <w:t xml:space="preserve"> stated in </w:t>
      </w:r>
      <w:r w:rsidR="00C3557C" w:rsidRPr="007641FF">
        <w:rPr>
          <w:rFonts w:asciiTheme="majorHAnsi" w:hAnsiTheme="majorHAnsi" w:cstheme="majorHAnsi"/>
          <w:sz w:val="22"/>
          <w:szCs w:val="22"/>
        </w:rPr>
        <w:t>tons</w:t>
      </w:r>
      <w:r w:rsidR="007641FF" w:rsidRPr="007641FF">
        <w:rPr>
          <w:rFonts w:asciiTheme="majorHAnsi" w:hAnsiTheme="majorHAnsi" w:cstheme="majorHAnsi"/>
          <w:sz w:val="22"/>
          <w:szCs w:val="22"/>
        </w:rPr>
        <w:t xml:space="preserve"> of CO2 equivalents, and the table shows the </w:t>
      </w:r>
      <w:r w:rsidR="007641FF" w:rsidRPr="007641FF">
        <w:rPr>
          <w:rFonts w:asciiTheme="majorHAnsi" w:hAnsiTheme="majorHAnsi" w:cstheme="majorHAnsi"/>
          <w:sz w:val="22"/>
          <w:szCs w:val="22"/>
        </w:rPr>
        <w:t>emission</w:t>
      </w:r>
      <w:r w:rsidR="007641FF" w:rsidRPr="007641FF">
        <w:rPr>
          <w:rFonts w:asciiTheme="majorHAnsi" w:hAnsiTheme="majorHAnsi" w:cstheme="majorHAnsi"/>
          <w:sz w:val="22"/>
          <w:szCs w:val="22"/>
        </w:rPr>
        <w:t xml:space="preserve"> divided into scope 1, 2 and 3</w:t>
      </w:r>
      <w:r w:rsidR="007641FF" w:rsidRPr="007641FF">
        <w:rPr>
          <w:rFonts w:asciiTheme="majorHAnsi" w:hAnsiTheme="majorHAnsi" w:cstheme="majorHAnsi"/>
          <w:sz w:val="22"/>
          <w:szCs w:val="22"/>
        </w:rPr>
        <w:t xml:space="preserve"> in accordance with the </w:t>
      </w:r>
      <w:r w:rsidR="007641FF" w:rsidRPr="007641FF">
        <w:rPr>
          <w:rFonts w:asciiTheme="majorHAnsi" w:hAnsiTheme="majorHAnsi" w:cstheme="majorHAnsi"/>
          <w:sz w:val="22"/>
          <w:szCs w:val="22"/>
        </w:rPr>
        <w:t xml:space="preserve">GHG protocol. </w:t>
      </w:r>
    </w:p>
    <w:p w14:paraId="3DDB04C6" w14:textId="77777777" w:rsidR="00C3557C" w:rsidRDefault="00C3557C" w:rsidP="007641FF">
      <w:pPr>
        <w:spacing w:line="276" w:lineRule="auto"/>
        <w:jc w:val="both"/>
        <w:rPr>
          <w:rFonts w:asciiTheme="majorHAnsi" w:hAnsiTheme="majorHAnsi" w:cstheme="majorHAnsi"/>
          <w:sz w:val="22"/>
          <w:szCs w:val="22"/>
        </w:rPr>
      </w:pPr>
    </w:p>
    <w:tbl>
      <w:tblPr>
        <w:tblW w:w="6960" w:type="dxa"/>
        <w:jc w:val="center"/>
        <w:tblLook w:val="04A0" w:firstRow="1" w:lastRow="0" w:firstColumn="1" w:lastColumn="0" w:noHBand="0" w:noVBand="1"/>
      </w:tblPr>
      <w:tblGrid>
        <w:gridCol w:w="2320"/>
        <w:gridCol w:w="2320"/>
        <w:gridCol w:w="2320"/>
      </w:tblGrid>
      <w:tr w:rsidR="00AB1A81" w:rsidRPr="00AB1A81" w14:paraId="26C4F6B4" w14:textId="77777777" w:rsidTr="00AB1A81">
        <w:trPr>
          <w:trHeight w:val="334"/>
          <w:jc w:val="center"/>
        </w:trPr>
        <w:tc>
          <w:tcPr>
            <w:tcW w:w="2320" w:type="dxa"/>
            <w:tcBorders>
              <w:top w:val="single" w:sz="4" w:space="0" w:color="auto"/>
              <w:left w:val="single" w:sz="4" w:space="0" w:color="auto"/>
              <w:bottom w:val="single" w:sz="4" w:space="0" w:color="auto"/>
              <w:right w:val="single" w:sz="4" w:space="0" w:color="auto"/>
            </w:tcBorders>
            <w:shd w:val="clear" w:color="000000" w:fill="BFBFBF"/>
            <w:hideMark/>
          </w:tcPr>
          <w:p w14:paraId="61CDAAC8" w14:textId="77777777" w:rsidR="00AB1A81" w:rsidRPr="00AB1A81" w:rsidRDefault="00AB1A81" w:rsidP="00AB1A81">
            <w:pPr>
              <w:rPr>
                <w:rFonts w:asciiTheme="majorHAnsi" w:hAnsiTheme="majorHAnsi" w:cstheme="majorHAnsi"/>
                <w:b/>
                <w:bCs/>
                <w:sz w:val="20"/>
                <w:szCs w:val="20"/>
              </w:rPr>
            </w:pPr>
            <w:r w:rsidRPr="00AB1A81">
              <w:rPr>
                <w:rFonts w:asciiTheme="majorHAnsi" w:hAnsiTheme="majorHAnsi" w:cstheme="majorHAnsi"/>
                <w:b/>
                <w:bCs/>
                <w:sz w:val="20"/>
                <w:szCs w:val="20"/>
              </w:rPr>
              <w:t>Scope</w:t>
            </w:r>
          </w:p>
        </w:tc>
        <w:tc>
          <w:tcPr>
            <w:tcW w:w="2320" w:type="dxa"/>
            <w:tcBorders>
              <w:top w:val="single" w:sz="4" w:space="0" w:color="auto"/>
              <w:left w:val="nil"/>
              <w:bottom w:val="single" w:sz="4" w:space="0" w:color="auto"/>
              <w:right w:val="single" w:sz="4" w:space="0" w:color="auto"/>
            </w:tcBorders>
            <w:shd w:val="clear" w:color="000000" w:fill="BFBFBF"/>
            <w:hideMark/>
          </w:tcPr>
          <w:p w14:paraId="2A1D9938" w14:textId="77777777" w:rsidR="00AB1A81" w:rsidRPr="00AB1A81" w:rsidRDefault="00AB1A81" w:rsidP="00AB1A81">
            <w:pPr>
              <w:jc w:val="right"/>
              <w:rPr>
                <w:rFonts w:asciiTheme="majorHAnsi" w:hAnsiTheme="majorHAnsi" w:cstheme="majorHAnsi"/>
                <w:b/>
                <w:bCs/>
                <w:sz w:val="20"/>
                <w:szCs w:val="20"/>
              </w:rPr>
            </w:pPr>
            <w:r w:rsidRPr="00AB1A81">
              <w:rPr>
                <w:rFonts w:asciiTheme="majorHAnsi" w:hAnsiTheme="majorHAnsi" w:cstheme="majorHAnsi"/>
                <w:b/>
                <w:bCs/>
                <w:sz w:val="20"/>
                <w:szCs w:val="20"/>
              </w:rPr>
              <w:t>Ton CO2e</w:t>
            </w:r>
          </w:p>
        </w:tc>
        <w:tc>
          <w:tcPr>
            <w:tcW w:w="2320" w:type="dxa"/>
            <w:tcBorders>
              <w:top w:val="single" w:sz="4" w:space="0" w:color="auto"/>
              <w:left w:val="nil"/>
              <w:bottom w:val="single" w:sz="4" w:space="0" w:color="auto"/>
              <w:right w:val="single" w:sz="4" w:space="0" w:color="auto"/>
            </w:tcBorders>
            <w:shd w:val="clear" w:color="000000" w:fill="BFBFBF"/>
            <w:hideMark/>
          </w:tcPr>
          <w:p w14:paraId="4C8BB5A9" w14:textId="38A2ED39" w:rsidR="00AB1A81" w:rsidRPr="00AB1A81" w:rsidRDefault="00C3557C" w:rsidP="00AB1A81">
            <w:pPr>
              <w:jc w:val="right"/>
              <w:rPr>
                <w:rFonts w:asciiTheme="majorHAnsi" w:hAnsiTheme="majorHAnsi" w:cstheme="majorHAnsi"/>
                <w:b/>
                <w:bCs/>
                <w:sz w:val="20"/>
                <w:szCs w:val="20"/>
              </w:rPr>
            </w:pPr>
            <w:r>
              <w:rPr>
                <w:rFonts w:asciiTheme="majorHAnsi" w:hAnsiTheme="majorHAnsi" w:cstheme="majorHAnsi"/>
                <w:b/>
                <w:bCs/>
                <w:sz w:val="20"/>
                <w:szCs w:val="20"/>
              </w:rPr>
              <w:t>Share of emission</w:t>
            </w:r>
          </w:p>
        </w:tc>
      </w:tr>
      <w:tr w:rsidR="00AB1A81" w:rsidRPr="00AB1A81" w14:paraId="7579C21E" w14:textId="77777777" w:rsidTr="00AB1A81">
        <w:trPr>
          <w:trHeight w:val="334"/>
          <w:jc w:val="center"/>
        </w:trPr>
        <w:tc>
          <w:tcPr>
            <w:tcW w:w="2320" w:type="dxa"/>
            <w:tcBorders>
              <w:top w:val="nil"/>
              <w:left w:val="single" w:sz="4" w:space="0" w:color="auto"/>
              <w:bottom w:val="single" w:sz="4" w:space="0" w:color="auto"/>
              <w:right w:val="single" w:sz="4" w:space="0" w:color="auto"/>
            </w:tcBorders>
            <w:shd w:val="clear" w:color="000000" w:fill="BFBFBF"/>
            <w:hideMark/>
          </w:tcPr>
          <w:p w14:paraId="6D3916DA" w14:textId="77777777" w:rsidR="00AB1A81" w:rsidRPr="00AB1A81" w:rsidRDefault="00AB1A81" w:rsidP="00AB1A81">
            <w:pPr>
              <w:rPr>
                <w:rFonts w:asciiTheme="majorHAnsi" w:hAnsiTheme="majorHAnsi" w:cstheme="majorHAnsi"/>
                <w:sz w:val="20"/>
                <w:szCs w:val="20"/>
              </w:rPr>
            </w:pPr>
            <w:r w:rsidRPr="00AB1A81">
              <w:rPr>
                <w:rFonts w:asciiTheme="majorHAnsi" w:hAnsiTheme="majorHAnsi" w:cstheme="majorHAnsi"/>
                <w:sz w:val="20"/>
                <w:szCs w:val="20"/>
              </w:rPr>
              <w:t>Scope 1</w:t>
            </w:r>
          </w:p>
        </w:tc>
        <w:tc>
          <w:tcPr>
            <w:tcW w:w="2320" w:type="dxa"/>
            <w:tcBorders>
              <w:top w:val="nil"/>
              <w:left w:val="nil"/>
              <w:bottom w:val="single" w:sz="4" w:space="0" w:color="auto"/>
              <w:right w:val="single" w:sz="4" w:space="0" w:color="auto"/>
            </w:tcBorders>
            <w:shd w:val="clear" w:color="000000" w:fill="FFFFFF"/>
            <w:hideMark/>
          </w:tcPr>
          <w:p w14:paraId="422EA3A1" w14:textId="77777777" w:rsidR="00AB1A81" w:rsidRPr="00AB1A81" w:rsidRDefault="00AB1A81" w:rsidP="00AB1A81">
            <w:pPr>
              <w:jc w:val="right"/>
              <w:rPr>
                <w:rFonts w:asciiTheme="majorHAnsi" w:hAnsiTheme="majorHAnsi" w:cstheme="majorHAnsi"/>
                <w:sz w:val="20"/>
                <w:szCs w:val="20"/>
              </w:rPr>
            </w:pPr>
            <w:r w:rsidRPr="00AB1A81">
              <w:rPr>
                <w:rFonts w:asciiTheme="majorHAnsi" w:hAnsiTheme="majorHAnsi" w:cstheme="majorHAnsi"/>
                <w:sz w:val="20"/>
                <w:szCs w:val="20"/>
              </w:rPr>
              <w:t>129,29</w:t>
            </w:r>
          </w:p>
        </w:tc>
        <w:tc>
          <w:tcPr>
            <w:tcW w:w="2320" w:type="dxa"/>
            <w:tcBorders>
              <w:top w:val="nil"/>
              <w:left w:val="nil"/>
              <w:bottom w:val="single" w:sz="4" w:space="0" w:color="auto"/>
              <w:right w:val="single" w:sz="4" w:space="0" w:color="auto"/>
            </w:tcBorders>
            <w:shd w:val="clear" w:color="000000" w:fill="FFFFFF"/>
            <w:hideMark/>
          </w:tcPr>
          <w:p w14:paraId="124829D6" w14:textId="77777777" w:rsidR="00AB1A81" w:rsidRPr="00AB1A81" w:rsidRDefault="00AB1A81" w:rsidP="00AB1A81">
            <w:pPr>
              <w:jc w:val="right"/>
              <w:rPr>
                <w:rFonts w:asciiTheme="majorHAnsi" w:hAnsiTheme="majorHAnsi" w:cstheme="majorHAnsi"/>
                <w:sz w:val="20"/>
                <w:szCs w:val="20"/>
              </w:rPr>
            </w:pPr>
            <w:r w:rsidRPr="00AB1A81">
              <w:rPr>
                <w:rFonts w:asciiTheme="majorHAnsi" w:hAnsiTheme="majorHAnsi" w:cstheme="majorHAnsi"/>
                <w:sz w:val="20"/>
                <w:szCs w:val="20"/>
              </w:rPr>
              <w:t>4,6%</w:t>
            </w:r>
          </w:p>
        </w:tc>
      </w:tr>
      <w:tr w:rsidR="00AB1A81" w:rsidRPr="00AB1A81" w14:paraId="4FD79704" w14:textId="77777777" w:rsidTr="00AB1A81">
        <w:trPr>
          <w:trHeight w:val="334"/>
          <w:jc w:val="center"/>
        </w:trPr>
        <w:tc>
          <w:tcPr>
            <w:tcW w:w="2320" w:type="dxa"/>
            <w:tcBorders>
              <w:top w:val="nil"/>
              <w:left w:val="single" w:sz="4" w:space="0" w:color="auto"/>
              <w:bottom w:val="single" w:sz="4" w:space="0" w:color="auto"/>
              <w:right w:val="single" w:sz="4" w:space="0" w:color="auto"/>
            </w:tcBorders>
            <w:shd w:val="clear" w:color="000000" w:fill="BFBFBF"/>
            <w:hideMark/>
          </w:tcPr>
          <w:p w14:paraId="5B18EEC2" w14:textId="77777777" w:rsidR="00AB1A81" w:rsidRPr="00AB1A81" w:rsidRDefault="00AB1A81" w:rsidP="00AB1A81">
            <w:pPr>
              <w:rPr>
                <w:rFonts w:asciiTheme="majorHAnsi" w:hAnsiTheme="majorHAnsi" w:cstheme="majorHAnsi"/>
                <w:sz w:val="20"/>
                <w:szCs w:val="20"/>
              </w:rPr>
            </w:pPr>
            <w:r w:rsidRPr="00AB1A81">
              <w:rPr>
                <w:rFonts w:asciiTheme="majorHAnsi" w:hAnsiTheme="majorHAnsi" w:cstheme="majorHAnsi"/>
                <w:sz w:val="20"/>
                <w:szCs w:val="20"/>
              </w:rPr>
              <w:t>Scope 2</w:t>
            </w:r>
          </w:p>
        </w:tc>
        <w:tc>
          <w:tcPr>
            <w:tcW w:w="2320" w:type="dxa"/>
            <w:tcBorders>
              <w:top w:val="nil"/>
              <w:left w:val="nil"/>
              <w:bottom w:val="single" w:sz="4" w:space="0" w:color="auto"/>
              <w:right w:val="single" w:sz="4" w:space="0" w:color="auto"/>
            </w:tcBorders>
            <w:shd w:val="clear" w:color="000000" w:fill="FFFFFF"/>
            <w:hideMark/>
          </w:tcPr>
          <w:p w14:paraId="668C7E09" w14:textId="77777777" w:rsidR="00AB1A81" w:rsidRPr="00AB1A81" w:rsidRDefault="00AB1A81" w:rsidP="00AB1A81">
            <w:pPr>
              <w:jc w:val="right"/>
              <w:rPr>
                <w:rFonts w:asciiTheme="majorHAnsi" w:hAnsiTheme="majorHAnsi" w:cstheme="majorHAnsi"/>
                <w:sz w:val="20"/>
                <w:szCs w:val="20"/>
              </w:rPr>
            </w:pPr>
            <w:r w:rsidRPr="00AB1A81">
              <w:rPr>
                <w:rFonts w:asciiTheme="majorHAnsi" w:hAnsiTheme="majorHAnsi" w:cstheme="majorHAnsi"/>
                <w:sz w:val="20"/>
                <w:szCs w:val="20"/>
              </w:rPr>
              <w:t>1,52</w:t>
            </w:r>
          </w:p>
        </w:tc>
        <w:tc>
          <w:tcPr>
            <w:tcW w:w="2320" w:type="dxa"/>
            <w:tcBorders>
              <w:top w:val="nil"/>
              <w:left w:val="nil"/>
              <w:bottom w:val="single" w:sz="4" w:space="0" w:color="auto"/>
              <w:right w:val="single" w:sz="4" w:space="0" w:color="auto"/>
            </w:tcBorders>
            <w:shd w:val="clear" w:color="000000" w:fill="FFFFFF"/>
            <w:hideMark/>
          </w:tcPr>
          <w:p w14:paraId="36CC1F3F" w14:textId="77777777" w:rsidR="00AB1A81" w:rsidRPr="00AB1A81" w:rsidRDefault="00AB1A81" w:rsidP="00AB1A81">
            <w:pPr>
              <w:jc w:val="right"/>
              <w:rPr>
                <w:rFonts w:asciiTheme="majorHAnsi" w:hAnsiTheme="majorHAnsi" w:cstheme="majorHAnsi"/>
                <w:sz w:val="20"/>
                <w:szCs w:val="20"/>
              </w:rPr>
            </w:pPr>
            <w:r w:rsidRPr="00AB1A81">
              <w:rPr>
                <w:rFonts w:asciiTheme="majorHAnsi" w:hAnsiTheme="majorHAnsi" w:cstheme="majorHAnsi"/>
                <w:sz w:val="20"/>
                <w:szCs w:val="20"/>
              </w:rPr>
              <w:t>0,1%</w:t>
            </w:r>
          </w:p>
        </w:tc>
      </w:tr>
      <w:tr w:rsidR="00AB1A81" w:rsidRPr="00AB1A81" w14:paraId="437D2B4E" w14:textId="77777777" w:rsidTr="00AB1A81">
        <w:trPr>
          <w:trHeight w:val="334"/>
          <w:jc w:val="center"/>
        </w:trPr>
        <w:tc>
          <w:tcPr>
            <w:tcW w:w="2320" w:type="dxa"/>
            <w:tcBorders>
              <w:top w:val="nil"/>
              <w:left w:val="single" w:sz="4" w:space="0" w:color="auto"/>
              <w:bottom w:val="single" w:sz="4" w:space="0" w:color="auto"/>
              <w:right w:val="single" w:sz="4" w:space="0" w:color="auto"/>
            </w:tcBorders>
            <w:shd w:val="clear" w:color="000000" w:fill="BFBFBF"/>
            <w:hideMark/>
          </w:tcPr>
          <w:p w14:paraId="1CC95A35" w14:textId="77777777" w:rsidR="00AB1A81" w:rsidRPr="00AB1A81" w:rsidRDefault="00AB1A81" w:rsidP="00AB1A81">
            <w:pPr>
              <w:rPr>
                <w:rFonts w:asciiTheme="majorHAnsi" w:hAnsiTheme="majorHAnsi" w:cstheme="majorHAnsi"/>
                <w:sz w:val="20"/>
                <w:szCs w:val="20"/>
              </w:rPr>
            </w:pPr>
            <w:r w:rsidRPr="00AB1A81">
              <w:rPr>
                <w:rFonts w:asciiTheme="majorHAnsi" w:hAnsiTheme="majorHAnsi" w:cstheme="majorHAnsi"/>
                <w:sz w:val="20"/>
                <w:szCs w:val="20"/>
              </w:rPr>
              <w:t>Scope 3</w:t>
            </w:r>
          </w:p>
        </w:tc>
        <w:tc>
          <w:tcPr>
            <w:tcW w:w="2320" w:type="dxa"/>
            <w:tcBorders>
              <w:top w:val="nil"/>
              <w:left w:val="nil"/>
              <w:bottom w:val="single" w:sz="4" w:space="0" w:color="auto"/>
              <w:right w:val="single" w:sz="4" w:space="0" w:color="auto"/>
            </w:tcBorders>
            <w:shd w:val="clear" w:color="000000" w:fill="FFFFFF"/>
            <w:hideMark/>
          </w:tcPr>
          <w:p w14:paraId="7396705A" w14:textId="77777777" w:rsidR="00AB1A81" w:rsidRPr="00AB1A81" w:rsidRDefault="00AB1A81" w:rsidP="00AB1A81">
            <w:pPr>
              <w:jc w:val="right"/>
              <w:rPr>
                <w:rFonts w:asciiTheme="majorHAnsi" w:hAnsiTheme="majorHAnsi" w:cstheme="majorHAnsi"/>
                <w:sz w:val="20"/>
                <w:szCs w:val="20"/>
              </w:rPr>
            </w:pPr>
            <w:r w:rsidRPr="00AB1A81">
              <w:rPr>
                <w:rFonts w:asciiTheme="majorHAnsi" w:hAnsiTheme="majorHAnsi" w:cstheme="majorHAnsi"/>
                <w:sz w:val="20"/>
                <w:szCs w:val="20"/>
              </w:rPr>
              <w:t>2.659,75</w:t>
            </w:r>
          </w:p>
        </w:tc>
        <w:tc>
          <w:tcPr>
            <w:tcW w:w="2320" w:type="dxa"/>
            <w:tcBorders>
              <w:top w:val="nil"/>
              <w:left w:val="nil"/>
              <w:bottom w:val="single" w:sz="4" w:space="0" w:color="auto"/>
              <w:right w:val="single" w:sz="4" w:space="0" w:color="auto"/>
            </w:tcBorders>
            <w:shd w:val="clear" w:color="000000" w:fill="FFFFFF"/>
            <w:hideMark/>
          </w:tcPr>
          <w:p w14:paraId="6D612960" w14:textId="77777777" w:rsidR="00AB1A81" w:rsidRPr="00AB1A81" w:rsidRDefault="00AB1A81" w:rsidP="00AB1A81">
            <w:pPr>
              <w:jc w:val="right"/>
              <w:rPr>
                <w:rFonts w:asciiTheme="majorHAnsi" w:hAnsiTheme="majorHAnsi" w:cstheme="majorHAnsi"/>
                <w:sz w:val="20"/>
                <w:szCs w:val="20"/>
              </w:rPr>
            </w:pPr>
            <w:r w:rsidRPr="00AB1A81">
              <w:rPr>
                <w:rFonts w:asciiTheme="majorHAnsi" w:hAnsiTheme="majorHAnsi" w:cstheme="majorHAnsi"/>
                <w:sz w:val="20"/>
                <w:szCs w:val="20"/>
              </w:rPr>
              <w:t>95,3%</w:t>
            </w:r>
          </w:p>
        </w:tc>
      </w:tr>
      <w:tr w:rsidR="00AB1A81" w:rsidRPr="00AB1A81" w14:paraId="20257589" w14:textId="77777777" w:rsidTr="00AB1A81">
        <w:trPr>
          <w:trHeight w:val="334"/>
          <w:jc w:val="center"/>
        </w:trPr>
        <w:tc>
          <w:tcPr>
            <w:tcW w:w="2320" w:type="dxa"/>
            <w:tcBorders>
              <w:top w:val="nil"/>
              <w:left w:val="single" w:sz="4" w:space="0" w:color="auto"/>
              <w:bottom w:val="single" w:sz="4" w:space="0" w:color="auto"/>
              <w:right w:val="single" w:sz="4" w:space="0" w:color="auto"/>
            </w:tcBorders>
            <w:shd w:val="clear" w:color="000000" w:fill="BFBFBF"/>
            <w:hideMark/>
          </w:tcPr>
          <w:p w14:paraId="33F32AAD" w14:textId="77777777" w:rsidR="00AB1A81" w:rsidRPr="00AB1A81" w:rsidRDefault="00AB1A81" w:rsidP="00AB1A81">
            <w:pPr>
              <w:rPr>
                <w:rFonts w:asciiTheme="majorHAnsi" w:hAnsiTheme="majorHAnsi" w:cstheme="majorHAnsi"/>
                <w:b/>
                <w:bCs/>
                <w:sz w:val="20"/>
                <w:szCs w:val="20"/>
              </w:rPr>
            </w:pPr>
            <w:r w:rsidRPr="00AB1A81">
              <w:rPr>
                <w:rFonts w:asciiTheme="majorHAnsi" w:hAnsiTheme="majorHAnsi" w:cstheme="majorHAnsi"/>
                <w:b/>
                <w:bCs/>
                <w:sz w:val="20"/>
                <w:szCs w:val="20"/>
              </w:rPr>
              <w:t>Total</w:t>
            </w:r>
          </w:p>
        </w:tc>
        <w:tc>
          <w:tcPr>
            <w:tcW w:w="2320" w:type="dxa"/>
            <w:tcBorders>
              <w:top w:val="nil"/>
              <w:left w:val="nil"/>
              <w:bottom w:val="single" w:sz="4" w:space="0" w:color="auto"/>
              <w:right w:val="single" w:sz="4" w:space="0" w:color="auto"/>
            </w:tcBorders>
            <w:shd w:val="clear" w:color="000000" w:fill="FFFFFF"/>
            <w:hideMark/>
          </w:tcPr>
          <w:p w14:paraId="12B8F270" w14:textId="77777777" w:rsidR="00AB1A81" w:rsidRPr="00AB1A81" w:rsidRDefault="00AB1A81" w:rsidP="00AB1A81">
            <w:pPr>
              <w:jc w:val="right"/>
              <w:rPr>
                <w:rFonts w:asciiTheme="majorHAnsi" w:hAnsiTheme="majorHAnsi" w:cstheme="majorHAnsi"/>
                <w:b/>
                <w:bCs/>
                <w:sz w:val="20"/>
                <w:szCs w:val="20"/>
              </w:rPr>
            </w:pPr>
            <w:r w:rsidRPr="00AB1A81">
              <w:rPr>
                <w:rFonts w:asciiTheme="majorHAnsi" w:hAnsiTheme="majorHAnsi" w:cstheme="majorHAnsi"/>
                <w:b/>
                <w:bCs/>
                <w:sz w:val="20"/>
                <w:szCs w:val="20"/>
              </w:rPr>
              <w:t>2.790,56</w:t>
            </w:r>
          </w:p>
        </w:tc>
        <w:tc>
          <w:tcPr>
            <w:tcW w:w="2320" w:type="dxa"/>
            <w:tcBorders>
              <w:top w:val="nil"/>
              <w:left w:val="nil"/>
              <w:bottom w:val="single" w:sz="4" w:space="0" w:color="auto"/>
              <w:right w:val="single" w:sz="4" w:space="0" w:color="auto"/>
            </w:tcBorders>
            <w:shd w:val="clear" w:color="000000" w:fill="FFFFFF"/>
            <w:hideMark/>
          </w:tcPr>
          <w:p w14:paraId="5C396005" w14:textId="77777777" w:rsidR="00AB1A81" w:rsidRPr="00AB1A81" w:rsidRDefault="00AB1A81" w:rsidP="00AB1A81">
            <w:pPr>
              <w:jc w:val="right"/>
              <w:rPr>
                <w:rFonts w:asciiTheme="majorHAnsi" w:hAnsiTheme="majorHAnsi" w:cstheme="majorHAnsi"/>
                <w:b/>
                <w:bCs/>
                <w:sz w:val="20"/>
                <w:szCs w:val="20"/>
              </w:rPr>
            </w:pPr>
            <w:r w:rsidRPr="00AB1A81">
              <w:rPr>
                <w:rFonts w:asciiTheme="majorHAnsi" w:hAnsiTheme="majorHAnsi" w:cstheme="majorHAnsi"/>
                <w:b/>
                <w:bCs/>
                <w:sz w:val="20"/>
                <w:szCs w:val="20"/>
              </w:rPr>
              <w:t>100,0%</w:t>
            </w:r>
          </w:p>
        </w:tc>
      </w:tr>
    </w:tbl>
    <w:p w14:paraId="7B7D2820" w14:textId="1641FFC3" w:rsidR="00AB1A81" w:rsidRPr="00AB1A81" w:rsidRDefault="00AB1A81" w:rsidP="006D4E5D">
      <w:pPr>
        <w:jc w:val="center"/>
        <w:rPr>
          <w:i/>
          <w:iCs/>
          <w:sz w:val="16"/>
          <w:szCs w:val="16"/>
          <w:lang w:val="en-GB"/>
        </w:rPr>
      </w:pPr>
      <w:r w:rsidRPr="00AB1A81">
        <w:rPr>
          <w:i/>
          <w:iCs/>
          <w:sz w:val="16"/>
          <w:szCs w:val="16"/>
          <w:lang w:val="en-GB"/>
        </w:rPr>
        <w:t>Table 2</w:t>
      </w:r>
      <w:r>
        <w:rPr>
          <w:i/>
          <w:iCs/>
          <w:sz w:val="16"/>
          <w:szCs w:val="16"/>
          <w:lang w:val="en-GB"/>
        </w:rPr>
        <w:t xml:space="preserve"> - </w:t>
      </w:r>
      <w:r w:rsidRPr="00AB1A81">
        <w:rPr>
          <w:i/>
          <w:iCs/>
          <w:sz w:val="16"/>
          <w:szCs w:val="16"/>
          <w:lang w:val="en-GB"/>
        </w:rPr>
        <w:t>Overview of the company's total CO2e emissions</w:t>
      </w:r>
    </w:p>
    <w:p w14:paraId="395BEA8D" w14:textId="77777777" w:rsidR="006D4E5D" w:rsidRDefault="006D4E5D" w:rsidP="006D4E5D">
      <w:pPr>
        <w:rPr>
          <w:rFonts w:asciiTheme="majorHAnsi" w:hAnsiTheme="majorHAnsi" w:cstheme="majorHAnsi"/>
          <w:color w:val="0070C0"/>
          <w:sz w:val="22"/>
          <w:szCs w:val="22"/>
          <w:lang w:val="en-GB"/>
        </w:rPr>
      </w:pPr>
    </w:p>
    <w:p w14:paraId="41CF1544" w14:textId="5FCF9389" w:rsidR="00520A16" w:rsidRPr="006D4E5D" w:rsidRDefault="00AB1A81" w:rsidP="006D4E5D">
      <w:pPr>
        <w:rPr>
          <w:rFonts w:asciiTheme="majorHAnsi" w:hAnsiTheme="majorHAnsi" w:cstheme="majorHAnsi"/>
          <w:sz w:val="22"/>
          <w:szCs w:val="22"/>
          <w:lang w:val="en-GB"/>
        </w:rPr>
      </w:pPr>
      <w:r w:rsidRPr="006D4E5D">
        <w:rPr>
          <w:rFonts w:asciiTheme="majorHAnsi" w:hAnsiTheme="majorHAnsi" w:cstheme="majorHAnsi"/>
          <w:sz w:val="22"/>
          <w:szCs w:val="22"/>
          <w:lang w:val="en-GB"/>
        </w:rPr>
        <w:t xml:space="preserve">In the spot analysis in </w:t>
      </w:r>
      <w:r w:rsidR="006D4E5D" w:rsidRPr="006D4E5D">
        <w:rPr>
          <w:rFonts w:asciiTheme="majorHAnsi" w:hAnsiTheme="majorHAnsi" w:cstheme="majorHAnsi"/>
          <w:sz w:val="22"/>
          <w:szCs w:val="22"/>
          <w:lang w:val="en-GB"/>
        </w:rPr>
        <w:t>chart</w:t>
      </w:r>
      <w:r w:rsidRPr="006D4E5D">
        <w:rPr>
          <w:rFonts w:asciiTheme="majorHAnsi" w:hAnsiTheme="majorHAnsi" w:cstheme="majorHAnsi"/>
          <w:sz w:val="22"/>
          <w:szCs w:val="22"/>
          <w:lang w:val="en-GB"/>
        </w:rPr>
        <w:t xml:space="preserve"> </w:t>
      </w:r>
      <w:r w:rsidR="006D4E5D" w:rsidRPr="006D4E5D">
        <w:rPr>
          <w:rFonts w:asciiTheme="majorHAnsi" w:hAnsiTheme="majorHAnsi" w:cstheme="majorHAnsi"/>
          <w:sz w:val="22"/>
          <w:szCs w:val="22"/>
          <w:lang w:val="en-GB"/>
        </w:rPr>
        <w:t xml:space="preserve">1 </w:t>
      </w:r>
      <w:r w:rsidR="006D4E5D" w:rsidRPr="006D4E5D">
        <w:rPr>
          <w:rFonts w:asciiTheme="majorHAnsi" w:hAnsiTheme="majorHAnsi" w:cstheme="majorHAnsi"/>
          <w:sz w:val="22"/>
          <w:szCs w:val="22"/>
          <w:lang w:val="en-GB"/>
        </w:rPr>
        <w:t>below</w:t>
      </w:r>
      <w:r w:rsidRPr="006D4E5D">
        <w:rPr>
          <w:rFonts w:asciiTheme="majorHAnsi" w:hAnsiTheme="majorHAnsi" w:cstheme="majorHAnsi"/>
          <w:sz w:val="22"/>
          <w:szCs w:val="22"/>
          <w:lang w:val="en-GB"/>
        </w:rPr>
        <w:t xml:space="preserve">, </w:t>
      </w:r>
      <w:proofErr w:type="spellStart"/>
      <w:r w:rsidRPr="006D4E5D">
        <w:rPr>
          <w:rFonts w:asciiTheme="majorHAnsi" w:hAnsiTheme="majorHAnsi" w:cstheme="majorHAnsi"/>
          <w:sz w:val="22"/>
          <w:szCs w:val="22"/>
          <w:lang w:val="en-GB"/>
        </w:rPr>
        <w:t>ProCon's</w:t>
      </w:r>
      <w:proofErr w:type="spellEnd"/>
      <w:r w:rsidRPr="006D4E5D">
        <w:rPr>
          <w:rFonts w:asciiTheme="majorHAnsi" w:hAnsiTheme="majorHAnsi" w:cstheme="majorHAnsi"/>
          <w:sz w:val="22"/>
          <w:szCs w:val="22"/>
          <w:lang w:val="en-GB"/>
        </w:rPr>
        <w:t xml:space="preserve"> 20 largest sources of emissions </w:t>
      </w:r>
      <w:r w:rsidR="006D4E5D" w:rsidRPr="006D4E5D">
        <w:rPr>
          <w:rFonts w:asciiTheme="majorHAnsi" w:hAnsiTheme="majorHAnsi" w:cstheme="majorHAnsi"/>
          <w:sz w:val="22"/>
          <w:szCs w:val="22"/>
          <w:lang w:val="en-GB"/>
        </w:rPr>
        <w:t xml:space="preserve">are shown. </w:t>
      </w:r>
    </w:p>
    <w:p w14:paraId="07688D77" w14:textId="77777777" w:rsidR="001A76A9" w:rsidRPr="006D4E5D" w:rsidRDefault="001A76A9" w:rsidP="00520A16">
      <w:pPr>
        <w:rPr>
          <w:rFonts w:asciiTheme="majorHAnsi" w:hAnsiTheme="majorHAnsi" w:cstheme="majorHAnsi"/>
          <w:color w:val="0070C0"/>
          <w:sz w:val="22"/>
          <w:szCs w:val="22"/>
          <w:lang w:val="en-GB"/>
        </w:rPr>
      </w:pPr>
    </w:p>
    <w:p w14:paraId="20C5BFAB" w14:textId="77777777" w:rsidR="001C24F3" w:rsidRDefault="001C24F3" w:rsidP="00663E65">
      <w:pPr>
        <w:rPr>
          <w:noProof/>
        </w:rPr>
      </w:pPr>
    </w:p>
    <w:p w14:paraId="75A2CF77" w14:textId="6BBBDACC" w:rsidR="00135E9D" w:rsidRDefault="001A76A9" w:rsidP="00663E65">
      <w:pPr>
        <w:rPr>
          <w:rFonts w:asciiTheme="majorHAnsi" w:hAnsiTheme="majorHAnsi" w:cstheme="majorHAnsi"/>
          <w:color w:val="0070C0"/>
          <w:sz w:val="22"/>
          <w:szCs w:val="22"/>
          <w:lang w:val="da-DK"/>
        </w:rPr>
      </w:pPr>
      <w:r>
        <w:rPr>
          <w:noProof/>
        </w:rPr>
        <w:lastRenderedPageBreak/>
        <w:drawing>
          <wp:inline distT="0" distB="0" distL="0" distR="0" wp14:anchorId="00207813" wp14:editId="5A39854E">
            <wp:extent cx="5731510" cy="1847850"/>
            <wp:effectExtent l="0" t="0" r="2540" b="0"/>
            <wp:docPr id="4533617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361788" name="Picture 1" descr="A screenshot of a computer&#10;&#10;Description automatically generated"/>
                    <pic:cNvPicPr/>
                  </pic:nvPicPr>
                  <pic:blipFill rotWithShape="1">
                    <a:blip r:embed="rId12"/>
                    <a:srcRect t="12085"/>
                    <a:stretch/>
                  </pic:blipFill>
                  <pic:spPr bwMode="auto">
                    <a:xfrm>
                      <a:off x="0" y="0"/>
                      <a:ext cx="5731510" cy="1847850"/>
                    </a:xfrm>
                    <a:prstGeom prst="rect">
                      <a:avLst/>
                    </a:prstGeom>
                    <a:ln>
                      <a:noFill/>
                    </a:ln>
                    <a:extLst>
                      <a:ext uri="{53640926-AAD7-44D8-BBD7-CCE9431645EC}">
                        <a14:shadowObscured xmlns:a14="http://schemas.microsoft.com/office/drawing/2010/main"/>
                      </a:ext>
                    </a:extLst>
                  </pic:spPr>
                </pic:pic>
              </a:graphicData>
            </a:graphic>
          </wp:inline>
        </w:drawing>
      </w:r>
    </w:p>
    <w:p w14:paraId="3249B6AF" w14:textId="303FB746" w:rsidR="001C24F3" w:rsidRPr="00AB1A81" w:rsidRDefault="001C24F3" w:rsidP="001C24F3">
      <w:pPr>
        <w:jc w:val="center"/>
        <w:rPr>
          <w:i/>
          <w:iCs/>
          <w:sz w:val="16"/>
          <w:szCs w:val="16"/>
          <w:lang w:val="en-GB"/>
        </w:rPr>
      </w:pPr>
      <w:r>
        <w:rPr>
          <w:i/>
          <w:iCs/>
          <w:sz w:val="16"/>
          <w:szCs w:val="16"/>
          <w:lang w:val="en-GB"/>
        </w:rPr>
        <w:t>Chart 1</w:t>
      </w:r>
      <w:r>
        <w:rPr>
          <w:i/>
          <w:iCs/>
          <w:sz w:val="16"/>
          <w:szCs w:val="16"/>
          <w:lang w:val="en-GB"/>
        </w:rPr>
        <w:t xml:space="preserve"> </w:t>
      </w:r>
      <w:r>
        <w:rPr>
          <w:i/>
          <w:iCs/>
          <w:sz w:val="16"/>
          <w:szCs w:val="16"/>
          <w:lang w:val="en-GB"/>
        </w:rPr>
        <w:t>-</w:t>
      </w:r>
      <w:r>
        <w:rPr>
          <w:i/>
          <w:iCs/>
          <w:sz w:val="16"/>
          <w:szCs w:val="16"/>
          <w:lang w:val="en-GB"/>
        </w:rPr>
        <w:t xml:space="preserve"> </w:t>
      </w:r>
      <w:r>
        <w:rPr>
          <w:i/>
          <w:iCs/>
          <w:sz w:val="16"/>
          <w:szCs w:val="16"/>
          <w:lang w:val="en-GB"/>
        </w:rPr>
        <w:t>CO2e-emmision from scope 1 + 2 + 3 divided into areas</w:t>
      </w:r>
    </w:p>
    <w:p w14:paraId="782C2937" w14:textId="77777777" w:rsidR="00E80D34" w:rsidRDefault="00E80D34" w:rsidP="00E80D34">
      <w:pPr>
        <w:rPr>
          <w:rFonts w:asciiTheme="majorHAnsi" w:hAnsiTheme="majorHAnsi" w:cstheme="majorHAnsi"/>
          <w:color w:val="0070C0"/>
          <w:sz w:val="22"/>
          <w:szCs w:val="22"/>
          <w:lang w:val="en-DK"/>
        </w:rPr>
      </w:pPr>
    </w:p>
    <w:p w14:paraId="290B1B21" w14:textId="5F0347D9" w:rsidR="006D4E5D" w:rsidRPr="00E80D34" w:rsidRDefault="00E80D34" w:rsidP="00E80D34">
      <w:pPr>
        <w:rPr>
          <w:rFonts w:asciiTheme="majorHAnsi" w:hAnsiTheme="majorHAnsi" w:cstheme="majorHAnsi"/>
          <w:sz w:val="22"/>
          <w:szCs w:val="22"/>
        </w:rPr>
      </w:pPr>
      <w:r w:rsidRPr="00E80D34">
        <w:rPr>
          <w:rFonts w:asciiTheme="majorHAnsi" w:hAnsiTheme="majorHAnsi" w:cstheme="majorHAnsi"/>
          <w:sz w:val="22"/>
          <w:szCs w:val="22"/>
          <w:lang w:val="en-DK"/>
        </w:rPr>
        <w:t xml:space="preserve">As shown in chart 1 </w:t>
      </w:r>
      <w:proofErr w:type="spellStart"/>
      <w:r w:rsidRPr="00E80D34">
        <w:rPr>
          <w:rFonts w:asciiTheme="majorHAnsi" w:hAnsiTheme="majorHAnsi" w:cstheme="majorHAnsi"/>
          <w:sz w:val="22"/>
          <w:szCs w:val="22"/>
          <w:lang w:val="en-DK"/>
        </w:rPr>
        <w:t>Pro</w:t>
      </w:r>
      <w:r w:rsidRPr="00E80D34">
        <w:rPr>
          <w:rFonts w:asciiTheme="majorHAnsi" w:hAnsiTheme="majorHAnsi" w:cstheme="majorHAnsi"/>
          <w:sz w:val="22"/>
          <w:szCs w:val="22"/>
          <w:lang w:val="en-DK"/>
        </w:rPr>
        <w:t>C</w:t>
      </w:r>
      <w:r w:rsidRPr="00E80D34">
        <w:rPr>
          <w:rFonts w:asciiTheme="majorHAnsi" w:hAnsiTheme="majorHAnsi" w:cstheme="majorHAnsi"/>
          <w:sz w:val="22"/>
          <w:szCs w:val="22"/>
          <w:lang w:val="en-DK"/>
        </w:rPr>
        <w:t>on's</w:t>
      </w:r>
      <w:proofErr w:type="spellEnd"/>
      <w:r w:rsidRPr="00E80D34">
        <w:rPr>
          <w:rFonts w:asciiTheme="majorHAnsi" w:hAnsiTheme="majorHAnsi" w:cstheme="majorHAnsi"/>
          <w:sz w:val="22"/>
          <w:szCs w:val="22"/>
          <w:lang w:val="en-DK"/>
        </w:rPr>
        <w:t xml:space="preserve"> largest source of emissions is </w:t>
      </w:r>
      <w:r w:rsidRPr="00E80D34">
        <w:rPr>
          <w:rFonts w:asciiTheme="majorHAnsi" w:hAnsiTheme="majorHAnsi" w:cstheme="majorHAnsi"/>
          <w:sz w:val="22"/>
          <w:szCs w:val="22"/>
          <w:lang w:val="en-DK"/>
        </w:rPr>
        <w:t>a</w:t>
      </w:r>
      <w:r w:rsidRPr="00E80D34">
        <w:rPr>
          <w:rFonts w:asciiTheme="majorHAnsi" w:hAnsiTheme="majorHAnsi" w:cstheme="majorHAnsi"/>
          <w:sz w:val="22"/>
          <w:szCs w:val="22"/>
          <w:lang w:val="en-DK"/>
        </w:rPr>
        <w:t>ccommodation</w:t>
      </w:r>
      <w:r w:rsidRPr="00E80D34">
        <w:rPr>
          <w:rFonts w:asciiTheme="majorHAnsi" w:hAnsiTheme="majorHAnsi" w:cstheme="majorHAnsi"/>
          <w:sz w:val="22"/>
          <w:szCs w:val="22"/>
          <w:lang w:val="en-DK"/>
        </w:rPr>
        <w:t xml:space="preserve">, </w:t>
      </w:r>
      <w:r w:rsidRPr="00E80D34">
        <w:rPr>
          <w:rFonts w:asciiTheme="majorHAnsi" w:hAnsiTheme="majorHAnsi" w:cstheme="majorHAnsi"/>
          <w:sz w:val="22"/>
          <w:szCs w:val="22"/>
          <w:lang w:val="en-DK"/>
        </w:rPr>
        <w:t xml:space="preserve">which is primarily related </w:t>
      </w:r>
      <w:r w:rsidR="009B5A24">
        <w:rPr>
          <w:rFonts w:asciiTheme="majorHAnsi" w:hAnsiTheme="majorHAnsi" w:cstheme="majorHAnsi"/>
          <w:sz w:val="22"/>
          <w:szCs w:val="22"/>
          <w:lang w:val="en-DK"/>
        </w:rPr>
        <w:t xml:space="preserve">to </w:t>
      </w:r>
      <w:r w:rsidRPr="00E80D34">
        <w:rPr>
          <w:rFonts w:asciiTheme="majorHAnsi" w:hAnsiTheme="majorHAnsi" w:cstheme="majorHAnsi"/>
          <w:sz w:val="22"/>
          <w:szCs w:val="22"/>
          <w:lang w:val="en-DK"/>
        </w:rPr>
        <w:t xml:space="preserve">the travel work carried out by </w:t>
      </w:r>
      <w:r w:rsidRPr="00E80D34">
        <w:rPr>
          <w:rFonts w:asciiTheme="majorHAnsi" w:hAnsiTheme="majorHAnsi" w:cstheme="majorHAnsi"/>
          <w:sz w:val="22"/>
          <w:szCs w:val="22"/>
          <w:lang w:val="en-DK"/>
        </w:rPr>
        <w:t>blue collar</w:t>
      </w:r>
      <w:r w:rsidRPr="00E80D34">
        <w:rPr>
          <w:rFonts w:asciiTheme="majorHAnsi" w:hAnsiTheme="majorHAnsi" w:cstheme="majorHAnsi"/>
          <w:sz w:val="22"/>
          <w:szCs w:val="22"/>
          <w:lang w:val="en-DK"/>
        </w:rPr>
        <w:t xml:space="preserve"> employee</w:t>
      </w:r>
      <w:r w:rsidRPr="00E80D34">
        <w:rPr>
          <w:rFonts w:asciiTheme="majorHAnsi" w:hAnsiTheme="majorHAnsi" w:cstheme="majorHAnsi"/>
          <w:sz w:val="22"/>
          <w:szCs w:val="22"/>
          <w:lang w:val="en-DK"/>
        </w:rPr>
        <w:t>s</w:t>
      </w:r>
      <w:r w:rsidRPr="00E80D34">
        <w:rPr>
          <w:rFonts w:asciiTheme="majorHAnsi" w:hAnsiTheme="majorHAnsi" w:cstheme="majorHAnsi"/>
          <w:sz w:val="22"/>
          <w:szCs w:val="22"/>
          <w:lang w:val="en-DK"/>
        </w:rPr>
        <w:t xml:space="preserve">. In that relation, </w:t>
      </w:r>
      <w:r w:rsidRPr="00E80D34">
        <w:rPr>
          <w:rFonts w:asciiTheme="majorHAnsi" w:hAnsiTheme="majorHAnsi" w:cstheme="majorHAnsi"/>
          <w:sz w:val="22"/>
          <w:szCs w:val="22"/>
          <w:lang w:val="en-DK"/>
        </w:rPr>
        <w:t xml:space="preserve">chart 1 also shows </w:t>
      </w:r>
      <w:r w:rsidRPr="00E80D34">
        <w:rPr>
          <w:rFonts w:asciiTheme="majorHAnsi" w:hAnsiTheme="majorHAnsi" w:cstheme="majorHAnsi"/>
          <w:sz w:val="22"/>
          <w:szCs w:val="22"/>
          <w:lang w:val="en-DK"/>
        </w:rPr>
        <w:t xml:space="preserve">that </w:t>
      </w:r>
      <w:proofErr w:type="spellStart"/>
      <w:r w:rsidRPr="00E80D34">
        <w:rPr>
          <w:rFonts w:asciiTheme="majorHAnsi" w:hAnsiTheme="majorHAnsi" w:cstheme="majorHAnsi"/>
          <w:sz w:val="22"/>
          <w:szCs w:val="22"/>
          <w:lang w:val="en-DK"/>
        </w:rPr>
        <w:t>Pro</w:t>
      </w:r>
      <w:r w:rsidR="009B5A24">
        <w:rPr>
          <w:rFonts w:asciiTheme="majorHAnsi" w:hAnsiTheme="majorHAnsi" w:cstheme="majorHAnsi"/>
          <w:sz w:val="22"/>
          <w:szCs w:val="22"/>
          <w:lang w:val="en-DK"/>
        </w:rPr>
        <w:t>C</w:t>
      </w:r>
      <w:r w:rsidRPr="00E80D34">
        <w:rPr>
          <w:rFonts w:asciiTheme="majorHAnsi" w:hAnsiTheme="majorHAnsi" w:cstheme="majorHAnsi"/>
          <w:sz w:val="22"/>
          <w:szCs w:val="22"/>
          <w:lang w:val="en-DK"/>
        </w:rPr>
        <w:t>on's</w:t>
      </w:r>
      <w:proofErr w:type="spellEnd"/>
      <w:r w:rsidRPr="00E80D34">
        <w:rPr>
          <w:rFonts w:asciiTheme="majorHAnsi" w:hAnsiTheme="majorHAnsi" w:cstheme="majorHAnsi"/>
          <w:sz w:val="22"/>
          <w:szCs w:val="22"/>
          <w:lang w:val="en-DK"/>
        </w:rPr>
        <w:t xml:space="preserve"> 3</w:t>
      </w:r>
      <w:r w:rsidRPr="00E80D34">
        <w:rPr>
          <w:rFonts w:asciiTheme="majorHAnsi" w:hAnsiTheme="majorHAnsi" w:cstheme="majorHAnsi"/>
          <w:sz w:val="22"/>
          <w:szCs w:val="22"/>
          <w:lang w:val="en-DK"/>
        </w:rPr>
        <w:t xml:space="preserve">rd </w:t>
      </w:r>
      <w:r w:rsidRPr="00E80D34">
        <w:rPr>
          <w:rFonts w:asciiTheme="majorHAnsi" w:hAnsiTheme="majorHAnsi" w:cstheme="majorHAnsi"/>
          <w:sz w:val="22"/>
          <w:szCs w:val="22"/>
          <w:lang w:val="en-DK"/>
        </w:rPr>
        <w:t>largest emissions are flights, which is primarily related to the bl</w:t>
      </w:r>
      <w:r w:rsidR="009B5A24">
        <w:rPr>
          <w:rFonts w:asciiTheme="majorHAnsi" w:hAnsiTheme="majorHAnsi" w:cstheme="majorHAnsi"/>
          <w:sz w:val="22"/>
          <w:szCs w:val="22"/>
          <w:lang w:val="en-DK"/>
        </w:rPr>
        <w:t>u</w:t>
      </w:r>
      <w:r w:rsidRPr="00E80D34">
        <w:rPr>
          <w:rFonts w:asciiTheme="majorHAnsi" w:hAnsiTheme="majorHAnsi" w:cstheme="majorHAnsi"/>
          <w:sz w:val="22"/>
          <w:szCs w:val="22"/>
          <w:lang w:val="en-DK"/>
        </w:rPr>
        <w:t>e collar employee</w:t>
      </w:r>
      <w:r w:rsidRPr="00E80D34">
        <w:rPr>
          <w:rFonts w:asciiTheme="majorHAnsi" w:hAnsiTheme="majorHAnsi" w:cstheme="majorHAnsi"/>
          <w:sz w:val="22"/>
          <w:szCs w:val="22"/>
          <w:lang w:val="en-DK"/>
        </w:rPr>
        <w:t>s travelling to and f</w:t>
      </w:r>
      <w:r w:rsidRPr="00E80D34">
        <w:rPr>
          <w:rFonts w:asciiTheme="majorHAnsi" w:hAnsiTheme="majorHAnsi" w:cstheme="majorHAnsi"/>
          <w:sz w:val="22"/>
          <w:szCs w:val="22"/>
          <w:lang w:val="en-DK"/>
        </w:rPr>
        <w:t xml:space="preserve">rom </w:t>
      </w:r>
      <w:r w:rsidRPr="00E80D34">
        <w:rPr>
          <w:rFonts w:asciiTheme="majorHAnsi" w:hAnsiTheme="majorHAnsi" w:cstheme="majorHAnsi"/>
          <w:sz w:val="22"/>
          <w:szCs w:val="22"/>
          <w:lang w:val="en-DK"/>
        </w:rPr>
        <w:t>work</w:t>
      </w:r>
      <w:r w:rsidRPr="00E80D34">
        <w:rPr>
          <w:rFonts w:asciiTheme="majorHAnsi" w:hAnsiTheme="majorHAnsi" w:cstheme="majorHAnsi"/>
          <w:sz w:val="22"/>
          <w:szCs w:val="22"/>
          <w:lang w:val="en-DK"/>
        </w:rPr>
        <w:t>sites.</w:t>
      </w:r>
      <w:r w:rsidRPr="00E80D34">
        <w:rPr>
          <w:rFonts w:asciiTheme="majorHAnsi" w:hAnsiTheme="majorHAnsi" w:cstheme="majorHAnsi"/>
          <w:sz w:val="22"/>
          <w:szCs w:val="22"/>
          <w:lang w:val="en-DK"/>
        </w:rPr>
        <w:t xml:space="preserve"> </w:t>
      </w:r>
      <w:r w:rsidRPr="00E80D34">
        <w:rPr>
          <w:rFonts w:asciiTheme="majorHAnsi" w:hAnsiTheme="majorHAnsi" w:cstheme="majorHAnsi"/>
          <w:sz w:val="22"/>
          <w:szCs w:val="22"/>
          <w:lang w:val="en"/>
        </w:rPr>
        <w:t>M</w:t>
      </w:r>
      <w:r w:rsidRPr="00E80D34">
        <w:rPr>
          <w:rFonts w:asciiTheme="majorHAnsi" w:hAnsiTheme="majorHAnsi" w:cstheme="majorHAnsi"/>
          <w:sz w:val="22"/>
          <w:szCs w:val="22"/>
          <w:lang w:val="en"/>
        </w:rPr>
        <w:t>aterial</w:t>
      </w:r>
      <w:r w:rsidRPr="00E80D34">
        <w:rPr>
          <w:rFonts w:asciiTheme="majorHAnsi" w:hAnsiTheme="majorHAnsi" w:cstheme="majorHAnsi"/>
          <w:sz w:val="22"/>
          <w:szCs w:val="22"/>
          <w:lang w:val="en"/>
        </w:rPr>
        <w:t>s/consumables</w:t>
      </w:r>
      <w:r w:rsidRPr="00E80D34">
        <w:rPr>
          <w:rFonts w:asciiTheme="majorHAnsi" w:hAnsiTheme="majorHAnsi" w:cstheme="majorHAnsi"/>
          <w:sz w:val="22"/>
          <w:szCs w:val="22"/>
          <w:lang w:val="en"/>
        </w:rPr>
        <w:t xml:space="preserve"> procure</w:t>
      </w:r>
      <w:r w:rsidRPr="00E80D34">
        <w:rPr>
          <w:rFonts w:asciiTheme="majorHAnsi" w:hAnsiTheme="majorHAnsi" w:cstheme="majorHAnsi"/>
          <w:sz w:val="22"/>
          <w:szCs w:val="22"/>
          <w:lang w:val="en"/>
        </w:rPr>
        <w:t>d</w:t>
      </w:r>
      <w:r w:rsidRPr="00E80D34">
        <w:rPr>
          <w:rFonts w:asciiTheme="majorHAnsi" w:hAnsiTheme="majorHAnsi" w:cstheme="majorHAnsi"/>
          <w:sz w:val="22"/>
          <w:szCs w:val="22"/>
        </w:rPr>
        <w:t xml:space="preserve"> </w:t>
      </w:r>
      <w:r w:rsidRPr="00E80D34">
        <w:rPr>
          <w:rFonts w:asciiTheme="majorHAnsi" w:hAnsiTheme="majorHAnsi" w:cstheme="majorHAnsi"/>
          <w:sz w:val="22"/>
          <w:szCs w:val="22"/>
          <w:lang w:val="en-DK"/>
        </w:rPr>
        <w:t xml:space="preserve">are distributed over several separate entries, but still </w:t>
      </w:r>
      <w:r w:rsidRPr="00E80D34">
        <w:rPr>
          <w:rFonts w:asciiTheme="majorHAnsi" w:hAnsiTheme="majorHAnsi" w:cstheme="majorHAnsi"/>
          <w:sz w:val="22"/>
          <w:szCs w:val="22"/>
          <w:lang w:val="en-DK"/>
        </w:rPr>
        <w:t>stand</w:t>
      </w:r>
      <w:r w:rsidR="009F108B">
        <w:rPr>
          <w:rFonts w:asciiTheme="majorHAnsi" w:hAnsiTheme="majorHAnsi" w:cstheme="majorHAnsi"/>
          <w:sz w:val="22"/>
          <w:szCs w:val="22"/>
          <w:lang w:val="en-DK"/>
        </w:rPr>
        <w:t>s</w:t>
      </w:r>
      <w:r w:rsidRPr="00E80D34">
        <w:rPr>
          <w:rFonts w:asciiTheme="majorHAnsi" w:hAnsiTheme="majorHAnsi" w:cstheme="majorHAnsi"/>
          <w:sz w:val="22"/>
          <w:szCs w:val="22"/>
          <w:lang w:val="en-DK"/>
        </w:rPr>
        <w:t xml:space="preserve"> out as a significant source of emissions – especially purchased materials</w:t>
      </w:r>
      <w:r w:rsidRPr="00E80D34">
        <w:rPr>
          <w:rFonts w:asciiTheme="majorHAnsi" w:hAnsiTheme="majorHAnsi" w:cstheme="majorHAnsi"/>
          <w:sz w:val="22"/>
          <w:szCs w:val="22"/>
          <w:lang w:val="en-DK"/>
        </w:rPr>
        <w:t>/consumables</w:t>
      </w:r>
      <w:r w:rsidRPr="00E80D34">
        <w:rPr>
          <w:rFonts w:asciiTheme="majorHAnsi" w:hAnsiTheme="majorHAnsi" w:cstheme="majorHAnsi"/>
          <w:sz w:val="22"/>
          <w:szCs w:val="22"/>
          <w:lang w:val="en-DK"/>
        </w:rPr>
        <w:t xml:space="preserve"> </w:t>
      </w:r>
      <w:r w:rsidRPr="00E80D34">
        <w:rPr>
          <w:rFonts w:asciiTheme="majorHAnsi" w:hAnsiTheme="majorHAnsi" w:cstheme="majorHAnsi"/>
          <w:sz w:val="22"/>
          <w:szCs w:val="22"/>
          <w:lang w:val="en-DK"/>
        </w:rPr>
        <w:t xml:space="preserve">made </w:t>
      </w:r>
      <w:r w:rsidRPr="00E80D34">
        <w:rPr>
          <w:rFonts w:asciiTheme="majorHAnsi" w:hAnsiTheme="majorHAnsi" w:cstheme="majorHAnsi"/>
          <w:sz w:val="22"/>
          <w:szCs w:val="22"/>
          <w:lang w:val="en-DK"/>
        </w:rPr>
        <w:t>of steel and plastic.</w:t>
      </w:r>
    </w:p>
    <w:p w14:paraId="0B16A132" w14:textId="77777777" w:rsidR="00E80D34" w:rsidRPr="00E80D34" w:rsidRDefault="00E80D34" w:rsidP="00E80D34">
      <w:pPr>
        <w:rPr>
          <w:rFonts w:asciiTheme="majorHAnsi" w:hAnsiTheme="majorHAnsi" w:cstheme="majorHAnsi"/>
          <w:color w:val="0070C0"/>
          <w:sz w:val="22"/>
          <w:szCs w:val="22"/>
          <w:lang w:val="en-DK"/>
        </w:rPr>
      </w:pPr>
    </w:p>
    <w:p w14:paraId="74EBFD89" w14:textId="7FBF229A" w:rsidR="00663E65" w:rsidRPr="00E80D34" w:rsidRDefault="00663E65" w:rsidP="00663E65">
      <w:pPr>
        <w:rPr>
          <w:rFonts w:asciiTheme="majorHAnsi" w:hAnsiTheme="majorHAnsi" w:cstheme="majorHAnsi"/>
          <w:color w:val="0070C0"/>
          <w:sz w:val="22"/>
          <w:szCs w:val="22"/>
          <w:lang w:val="en-GB"/>
        </w:rPr>
      </w:pPr>
    </w:p>
    <w:p w14:paraId="03652CDA" w14:textId="18FD1D51" w:rsidR="00135E9D" w:rsidRPr="001A5C3D" w:rsidRDefault="00D626E5" w:rsidP="00135E9D">
      <w:pPr>
        <w:pStyle w:val="Heading2"/>
        <w:rPr>
          <w:lang w:val="en-GB"/>
        </w:rPr>
      </w:pPr>
      <w:bookmarkStart w:id="7" w:name="_Toc164244129"/>
      <w:r>
        <w:rPr>
          <w:lang w:val="en-GB"/>
        </w:rPr>
        <w:t xml:space="preserve">5. </w:t>
      </w:r>
      <w:r w:rsidR="00135E9D" w:rsidRPr="001A5C3D">
        <w:rPr>
          <w:lang w:val="en-GB"/>
        </w:rPr>
        <w:t>Limitations</w:t>
      </w:r>
      <w:bookmarkEnd w:id="7"/>
      <w:r w:rsidR="00135E9D" w:rsidRPr="001A5C3D">
        <w:rPr>
          <w:lang w:val="en-GB"/>
        </w:rPr>
        <w:t xml:space="preserve"> </w:t>
      </w:r>
      <w:r w:rsidR="00DE21F7">
        <w:rPr>
          <w:lang w:val="en-GB"/>
        </w:rPr>
        <w:t xml:space="preserve">and </w:t>
      </w:r>
      <w:r w:rsidR="00DE21F7" w:rsidRPr="00DE21F7">
        <w:rPr>
          <w:lang w:val="en-GB"/>
        </w:rPr>
        <w:t>uncertaint</w:t>
      </w:r>
      <w:r w:rsidR="00DE21F7">
        <w:rPr>
          <w:lang w:val="en-GB"/>
        </w:rPr>
        <w:t>ies</w:t>
      </w:r>
    </w:p>
    <w:p w14:paraId="5B766070" w14:textId="77777777" w:rsidR="00135E9D" w:rsidRPr="001A5C3D" w:rsidRDefault="00135E9D" w:rsidP="00135E9D">
      <w:pPr>
        <w:pStyle w:val="ListParagraph"/>
        <w:ind w:left="360"/>
        <w:rPr>
          <w:color w:val="FF0000"/>
          <w:lang w:val="en-GB"/>
        </w:rPr>
      </w:pPr>
    </w:p>
    <w:p w14:paraId="675EA032" w14:textId="1D574519" w:rsidR="00135E9D" w:rsidRPr="00BA1E39" w:rsidRDefault="00135E9D" w:rsidP="00135E9D">
      <w:pPr>
        <w:spacing w:line="276" w:lineRule="auto"/>
        <w:jc w:val="both"/>
        <w:rPr>
          <w:rFonts w:asciiTheme="majorHAnsi" w:hAnsiTheme="majorHAnsi" w:cstheme="majorHAnsi"/>
          <w:sz w:val="22"/>
          <w:szCs w:val="22"/>
        </w:rPr>
      </w:pPr>
      <w:r w:rsidRPr="00BA1E39">
        <w:rPr>
          <w:rFonts w:asciiTheme="majorHAnsi" w:hAnsiTheme="majorHAnsi" w:cstheme="majorHAnsi"/>
          <w:sz w:val="22"/>
          <w:szCs w:val="22"/>
        </w:rPr>
        <w:t>It is acknowledged that the 202</w:t>
      </w:r>
      <w:r w:rsidR="001A5C3D" w:rsidRPr="00BA1E39">
        <w:rPr>
          <w:rFonts w:asciiTheme="majorHAnsi" w:hAnsiTheme="majorHAnsi" w:cstheme="majorHAnsi"/>
          <w:sz w:val="22"/>
          <w:szCs w:val="22"/>
        </w:rPr>
        <w:t>3</w:t>
      </w:r>
      <w:r w:rsidRPr="00BA1E39">
        <w:rPr>
          <w:rFonts w:asciiTheme="majorHAnsi" w:hAnsiTheme="majorHAnsi" w:cstheme="majorHAnsi"/>
          <w:sz w:val="22"/>
          <w:szCs w:val="22"/>
        </w:rPr>
        <w:t xml:space="preserve"> GHG account is the </w:t>
      </w:r>
      <w:r w:rsidR="001A5C3D" w:rsidRPr="00BA1E39">
        <w:rPr>
          <w:rFonts w:asciiTheme="majorHAnsi" w:hAnsiTheme="majorHAnsi" w:cstheme="majorHAnsi"/>
          <w:sz w:val="22"/>
          <w:szCs w:val="22"/>
        </w:rPr>
        <w:t xml:space="preserve">second </w:t>
      </w:r>
      <w:r w:rsidRPr="00BA1E39">
        <w:rPr>
          <w:rFonts w:asciiTheme="majorHAnsi" w:hAnsiTheme="majorHAnsi" w:cstheme="majorHAnsi"/>
          <w:sz w:val="22"/>
          <w:szCs w:val="22"/>
        </w:rPr>
        <w:t xml:space="preserve">time for </w:t>
      </w:r>
      <w:proofErr w:type="spellStart"/>
      <w:r w:rsidRPr="00BA1E39">
        <w:rPr>
          <w:rFonts w:asciiTheme="majorHAnsi" w:hAnsiTheme="majorHAnsi" w:cstheme="majorHAnsi"/>
          <w:sz w:val="22"/>
          <w:szCs w:val="22"/>
        </w:rPr>
        <w:t>ProCon</w:t>
      </w:r>
      <w:proofErr w:type="spellEnd"/>
      <w:r w:rsidRPr="00BA1E39">
        <w:rPr>
          <w:rFonts w:asciiTheme="majorHAnsi" w:hAnsiTheme="majorHAnsi" w:cstheme="majorHAnsi"/>
          <w:sz w:val="22"/>
          <w:szCs w:val="22"/>
        </w:rPr>
        <w:t xml:space="preserve"> to disclose their GHG emissions and that there are certain limitations to the results of the account. </w:t>
      </w:r>
    </w:p>
    <w:p w14:paraId="34349381" w14:textId="77777777" w:rsidR="00135E9D" w:rsidRPr="004832B3" w:rsidRDefault="00135E9D" w:rsidP="00135E9D">
      <w:pPr>
        <w:spacing w:line="276" w:lineRule="auto"/>
        <w:jc w:val="both"/>
        <w:rPr>
          <w:rFonts w:asciiTheme="majorHAnsi" w:hAnsiTheme="majorHAnsi" w:cstheme="majorHAnsi"/>
          <w:color w:val="FF0000"/>
          <w:sz w:val="22"/>
          <w:szCs w:val="22"/>
        </w:rPr>
      </w:pPr>
    </w:p>
    <w:p w14:paraId="6DAA6278" w14:textId="6B0F40E2" w:rsidR="00DE21F7" w:rsidRDefault="00135E9D" w:rsidP="00D979B6">
      <w:pPr>
        <w:spacing w:line="276" w:lineRule="auto"/>
        <w:jc w:val="both"/>
        <w:rPr>
          <w:rFonts w:asciiTheme="majorHAnsi" w:hAnsiTheme="majorHAnsi" w:cstheme="majorHAnsi"/>
          <w:sz w:val="22"/>
          <w:szCs w:val="22"/>
        </w:rPr>
      </w:pPr>
      <w:r w:rsidRPr="00BA1E39">
        <w:rPr>
          <w:rFonts w:asciiTheme="majorHAnsi" w:hAnsiTheme="majorHAnsi" w:cstheme="majorHAnsi"/>
          <w:sz w:val="22"/>
          <w:szCs w:val="22"/>
        </w:rPr>
        <w:t xml:space="preserve">No data collecting systems targeted at capturing GHG-related data are integrated in the existing processes of </w:t>
      </w:r>
      <w:proofErr w:type="spellStart"/>
      <w:r w:rsidRPr="00BA1E39">
        <w:rPr>
          <w:rFonts w:asciiTheme="majorHAnsi" w:hAnsiTheme="majorHAnsi" w:cstheme="majorHAnsi"/>
          <w:sz w:val="22"/>
          <w:szCs w:val="22"/>
        </w:rPr>
        <w:t>ProCon</w:t>
      </w:r>
      <w:proofErr w:type="spellEnd"/>
      <w:r w:rsidRPr="00BA1E39">
        <w:rPr>
          <w:rFonts w:asciiTheme="majorHAnsi" w:hAnsiTheme="majorHAnsi" w:cstheme="majorHAnsi"/>
          <w:sz w:val="22"/>
          <w:szCs w:val="22"/>
        </w:rPr>
        <w:t xml:space="preserve">, which means that all relevant data could not always be readily obtained. The strategy used to mitigate this issue has been to combine different data-collecting methodologies </w:t>
      </w:r>
      <w:r w:rsidRPr="00D979B6">
        <w:rPr>
          <w:rFonts w:asciiTheme="majorHAnsi" w:hAnsiTheme="majorHAnsi" w:cstheme="majorHAnsi"/>
          <w:sz w:val="22"/>
          <w:szCs w:val="22"/>
        </w:rPr>
        <w:t xml:space="preserve">presented in table 1. </w:t>
      </w:r>
    </w:p>
    <w:p w14:paraId="0D3219F0" w14:textId="77777777" w:rsidR="00DE21F7" w:rsidRDefault="00DE21F7" w:rsidP="00D979B6">
      <w:pPr>
        <w:spacing w:line="276" w:lineRule="auto"/>
        <w:jc w:val="both"/>
        <w:rPr>
          <w:rFonts w:asciiTheme="majorHAnsi" w:hAnsiTheme="majorHAnsi" w:cstheme="majorHAnsi"/>
          <w:sz w:val="22"/>
          <w:szCs w:val="22"/>
        </w:rPr>
      </w:pPr>
    </w:p>
    <w:p w14:paraId="333562AF" w14:textId="316E82A7" w:rsidR="00D979B6" w:rsidRPr="00BA1E39" w:rsidRDefault="00D87335" w:rsidP="00D979B6">
      <w:pPr>
        <w:spacing w:line="276" w:lineRule="auto"/>
        <w:jc w:val="both"/>
        <w:rPr>
          <w:rFonts w:asciiTheme="majorHAnsi" w:hAnsiTheme="majorHAnsi" w:cstheme="majorHAnsi"/>
          <w:sz w:val="22"/>
          <w:szCs w:val="22"/>
        </w:rPr>
      </w:pPr>
      <w:r w:rsidRPr="00D979B6">
        <w:rPr>
          <w:rFonts w:asciiTheme="majorHAnsi" w:hAnsiTheme="majorHAnsi" w:cstheme="majorHAnsi"/>
          <w:sz w:val="22"/>
          <w:szCs w:val="22"/>
        </w:rPr>
        <w:t xml:space="preserve">The variety of </w:t>
      </w:r>
      <w:proofErr w:type="spellStart"/>
      <w:r w:rsidRPr="00D979B6">
        <w:rPr>
          <w:rFonts w:asciiTheme="majorHAnsi" w:hAnsiTheme="majorHAnsi" w:cstheme="majorHAnsi"/>
          <w:sz w:val="22"/>
          <w:szCs w:val="22"/>
        </w:rPr>
        <w:t>ProCon’s</w:t>
      </w:r>
      <w:proofErr w:type="spellEnd"/>
      <w:r w:rsidRPr="00D979B6">
        <w:rPr>
          <w:rFonts w:asciiTheme="majorHAnsi" w:hAnsiTheme="majorHAnsi" w:cstheme="majorHAnsi"/>
          <w:sz w:val="22"/>
          <w:szCs w:val="22"/>
        </w:rPr>
        <w:t xml:space="preserve"> purchased goods and services </w:t>
      </w:r>
      <w:r w:rsidR="009F108B" w:rsidRPr="00D979B6">
        <w:rPr>
          <w:rFonts w:asciiTheme="majorHAnsi" w:hAnsiTheme="majorHAnsi" w:cstheme="majorHAnsi"/>
          <w:sz w:val="22"/>
          <w:szCs w:val="22"/>
        </w:rPr>
        <w:t>results</w:t>
      </w:r>
      <w:r w:rsidRPr="00D979B6">
        <w:rPr>
          <w:rFonts w:asciiTheme="majorHAnsi" w:hAnsiTheme="majorHAnsi" w:cstheme="majorHAnsi"/>
          <w:sz w:val="22"/>
          <w:szCs w:val="22"/>
        </w:rPr>
        <w:t xml:space="preserve"> in great complexity in its supply chains. Depending on the scoping and terms of references outlined for each project, the types of procured goods and services </w:t>
      </w:r>
      <w:r w:rsidRPr="00D979B6">
        <w:rPr>
          <w:rFonts w:asciiTheme="majorHAnsi" w:hAnsiTheme="majorHAnsi" w:cstheme="majorHAnsi"/>
          <w:sz w:val="22"/>
          <w:szCs w:val="22"/>
        </w:rPr>
        <w:t>vary</w:t>
      </w:r>
      <w:r w:rsidRPr="00D979B6">
        <w:rPr>
          <w:rFonts w:asciiTheme="majorHAnsi" w:hAnsiTheme="majorHAnsi" w:cstheme="majorHAnsi"/>
          <w:sz w:val="22"/>
          <w:szCs w:val="22"/>
        </w:rPr>
        <w:t xml:space="preserve"> between projects</w:t>
      </w:r>
      <w:r w:rsidRPr="00D979B6">
        <w:rPr>
          <w:rFonts w:asciiTheme="majorHAnsi" w:hAnsiTheme="majorHAnsi" w:cstheme="majorHAnsi"/>
          <w:sz w:val="22"/>
          <w:szCs w:val="22"/>
        </w:rPr>
        <w:t xml:space="preserve">, making it difficult to track – especially for </w:t>
      </w:r>
      <w:r w:rsidRPr="00D979B6">
        <w:rPr>
          <w:rFonts w:asciiTheme="majorHAnsi" w:hAnsiTheme="majorHAnsi" w:cstheme="majorHAnsi"/>
          <w:sz w:val="22"/>
          <w:szCs w:val="22"/>
        </w:rPr>
        <w:t>smaller parts (consumables)</w:t>
      </w:r>
      <w:r w:rsidRPr="00D979B6">
        <w:rPr>
          <w:rFonts w:asciiTheme="majorHAnsi" w:hAnsiTheme="majorHAnsi" w:cstheme="majorHAnsi"/>
          <w:sz w:val="22"/>
          <w:szCs w:val="22"/>
        </w:rPr>
        <w:t xml:space="preserve"> like</w:t>
      </w:r>
      <w:r w:rsidRPr="00D979B6">
        <w:rPr>
          <w:rFonts w:asciiTheme="majorHAnsi" w:hAnsiTheme="majorHAnsi" w:cstheme="majorHAnsi"/>
          <w:sz w:val="22"/>
          <w:szCs w:val="22"/>
        </w:rPr>
        <w:t xml:space="preserve"> nuts, screws, bolts, and wires. </w:t>
      </w:r>
      <w:r w:rsidR="00D979B6" w:rsidRPr="00D979B6">
        <w:rPr>
          <w:rFonts w:asciiTheme="majorHAnsi" w:hAnsiTheme="majorHAnsi" w:cstheme="majorHAnsi"/>
          <w:sz w:val="22"/>
          <w:szCs w:val="22"/>
        </w:rPr>
        <w:t>A</w:t>
      </w:r>
      <w:r w:rsidR="00D979B6" w:rsidRPr="00D979B6">
        <w:rPr>
          <w:rFonts w:asciiTheme="majorHAnsi" w:hAnsiTheme="majorHAnsi" w:cstheme="majorHAnsi"/>
          <w:sz w:val="22"/>
          <w:szCs w:val="22"/>
        </w:rPr>
        <w:t>s no systematic registration of such purchases exists across the organization</w:t>
      </w:r>
      <w:r w:rsidR="00D979B6" w:rsidRPr="00D979B6">
        <w:rPr>
          <w:rFonts w:asciiTheme="majorHAnsi" w:hAnsiTheme="majorHAnsi" w:cstheme="majorHAnsi"/>
          <w:sz w:val="22"/>
          <w:szCs w:val="22"/>
        </w:rPr>
        <w:t>, it</w:t>
      </w:r>
      <w:r w:rsidRPr="00D979B6">
        <w:rPr>
          <w:rFonts w:asciiTheme="majorHAnsi" w:hAnsiTheme="majorHAnsi" w:cstheme="majorHAnsi"/>
          <w:sz w:val="22"/>
          <w:szCs w:val="22"/>
        </w:rPr>
        <w:t xml:space="preserve"> has not been possible to </w:t>
      </w:r>
      <w:r w:rsidRPr="00D979B6">
        <w:rPr>
          <w:rFonts w:asciiTheme="majorHAnsi" w:hAnsiTheme="majorHAnsi" w:cstheme="majorHAnsi"/>
          <w:sz w:val="22"/>
          <w:szCs w:val="22"/>
        </w:rPr>
        <w:t>obtain</w:t>
      </w:r>
      <w:r w:rsidRPr="00D979B6">
        <w:rPr>
          <w:rFonts w:asciiTheme="majorHAnsi" w:hAnsiTheme="majorHAnsi" w:cstheme="majorHAnsi"/>
          <w:sz w:val="22"/>
          <w:szCs w:val="22"/>
        </w:rPr>
        <w:t xml:space="preserve"> all the</w:t>
      </w:r>
      <w:r w:rsidRPr="00D979B6">
        <w:rPr>
          <w:rFonts w:asciiTheme="majorHAnsi" w:hAnsiTheme="majorHAnsi" w:cstheme="majorHAnsi"/>
          <w:sz w:val="22"/>
          <w:szCs w:val="22"/>
        </w:rPr>
        <w:t xml:space="preserve"> necessary input data</w:t>
      </w:r>
      <w:r w:rsidRPr="00D979B6">
        <w:rPr>
          <w:rFonts w:asciiTheme="majorHAnsi" w:hAnsiTheme="majorHAnsi" w:cstheme="majorHAnsi"/>
          <w:sz w:val="22"/>
          <w:szCs w:val="22"/>
        </w:rPr>
        <w:t xml:space="preserve">, </w:t>
      </w:r>
      <w:r w:rsidR="00D979B6" w:rsidRPr="00D979B6">
        <w:rPr>
          <w:rFonts w:asciiTheme="majorHAnsi" w:hAnsiTheme="majorHAnsi" w:cstheme="majorHAnsi"/>
          <w:sz w:val="22"/>
          <w:szCs w:val="22"/>
        </w:rPr>
        <w:t>by which</w:t>
      </w:r>
      <w:r w:rsidR="00D979B6" w:rsidRPr="00D979B6">
        <w:rPr>
          <w:rFonts w:asciiTheme="majorHAnsi" w:hAnsiTheme="majorHAnsi" w:cstheme="majorHAnsi"/>
          <w:sz w:val="22"/>
          <w:szCs w:val="22"/>
        </w:rPr>
        <w:t xml:space="preserve"> it has </w:t>
      </w:r>
      <w:r w:rsidR="009F108B">
        <w:rPr>
          <w:rFonts w:asciiTheme="majorHAnsi" w:hAnsiTheme="majorHAnsi" w:cstheme="majorHAnsi"/>
          <w:sz w:val="22"/>
          <w:szCs w:val="22"/>
        </w:rPr>
        <w:t>been</w:t>
      </w:r>
      <w:r w:rsidR="00D979B6" w:rsidRPr="00D979B6">
        <w:rPr>
          <w:rFonts w:asciiTheme="majorHAnsi" w:hAnsiTheme="majorHAnsi" w:cstheme="majorHAnsi"/>
          <w:sz w:val="22"/>
          <w:szCs w:val="22"/>
        </w:rPr>
        <w:t xml:space="preserve"> necessary</w:t>
      </w:r>
      <w:r w:rsidR="00D979B6" w:rsidRPr="00D979B6">
        <w:rPr>
          <w:rFonts w:asciiTheme="majorHAnsi" w:hAnsiTheme="majorHAnsi" w:cstheme="majorHAnsi"/>
          <w:sz w:val="22"/>
          <w:szCs w:val="22"/>
        </w:rPr>
        <w:t xml:space="preserve"> to </w:t>
      </w:r>
      <w:r w:rsidRPr="00D979B6">
        <w:rPr>
          <w:rFonts w:asciiTheme="majorHAnsi" w:hAnsiTheme="majorHAnsi" w:cstheme="majorHAnsi"/>
          <w:sz w:val="22"/>
          <w:szCs w:val="22"/>
        </w:rPr>
        <w:t>scope out</w:t>
      </w:r>
      <w:r w:rsidR="00D979B6" w:rsidRPr="00D979B6">
        <w:rPr>
          <w:rFonts w:asciiTheme="majorHAnsi" w:hAnsiTheme="majorHAnsi" w:cstheme="majorHAnsi"/>
          <w:sz w:val="22"/>
          <w:szCs w:val="22"/>
        </w:rPr>
        <w:t xml:space="preserve"> some of the materials/con</w:t>
      </w:r>
      <w:r w:rsidR="009F108B">
        <w:rPr>
          <w:rFonts w:asciiTheme="majorHAnsi" w:hAnsiTheme="majorHAnsi" w:cstheme="majorHAnsi"/>
          <w:sz w:val="22"/>
          <w:szCs w:val="22"/>
        </w:rPr>
        <w:t>s</w:t>
      </w:r>
      <w:r w:rsidR="00D979B6" w:rsidRPr="00D979B6">
        <w:rPr>
          <w:rFonts w:asciiTheme="majorHAnsi" w:hAnsiTheme="majorHAnsi" w:cstheme="majorHAnsi"/>
          <w:sz w:val="22"/>
          <w:szCs w:val="22"/>
        </w:rPr>
        <w:t>umables purcha</w:t>
      </w:r>
      <w:r w:rsidR="009F108B">
        <w:rPr>
          <w:rFonts w:asciiTheme="majorHAnsi" w:hAnsiTheme="majorHAnsi" w:cstheme="majorHAnsi"/>
          <w:sz w:val="22"/>
          <w:szCs w:val="22"/>
        </w:rPr>
        <w:t>s</w:t>
      </w:r>
      <w:r w:rsidR="00D979B6" w:rsidRPr="00D979B6">
        <w:rPr>
          <w:rFonts w:asciiTheme="majorHAnsi" w:hAnsiTheme="majorHAnsi" w:cstheme="majorHAnsi"/>
          <w:sz w:val="22"/>
          <w:szCs w:val="22"/>
        </w:rPr>
        <w:t>ed in the</w:t>
      </w:r>
      <w:r w:rsidRPr="00D979B6">
        <w:rPr>
          <w:rFonts w:asciiTheme="majorHAnsi" w:hAnsiTheme="majorHAnsi" w:cstheme="majorHAnsi"/>
          <w:sz w:val="22"/>
          <w:szCs w:val="22"/>
        </w:rPr>
        <w:t xml:space="preserve"> 202</w:t>
      </w:r>
      <w:r w:rsidR="00D979B6" w:rsidRPr="00D979B6">
        <w:rPr>
          <w:rFonts w:asciiTheme="majorHAnsi" w:hAnsiTheme="majorHAnsi" w:cstheme="majorHAnsi"/>
          <w:sz w:val="22"/>
          <w:szCs w:val="22"/>
        </w:rPr>
        <w:t>3</w:t>
      </w:r>
      <w:r w:rsidRPr="00D979B6">
        <w:rPr>
          <w:rFonts w:asciiTheme="majorHAnsi" w:hAnsiTheme="majorHAnsi" w:cstheme="majorHAnsi"/>
          <w:sz w:val="22"/>
          <w:szCs w:val="22"/>
        </w:rPr>
        <w:t xml:space="preserve"> GHG account</w:t>
      </w:r>
      <w:r w:rsidR="00D979B6" w:rsidRPr="00D979B6">
        <w:rPr>
          <w:rFonts w:asciiTheme="majorHAnsi" w:hAnsiTheme="majorHAnsi" w:cstheme="majorHAnsi"/>
          <w:sz w:val="22"/>
          <w:szCs w:val="22"/>
        </w:rPr>
        <w:t xml:space="preserve">. </w:t>
      </w:r>
      <w:r w:rsidR="00D979B6" w:rsidRPr="00D979B6">
        <w:rPr>
          <w:rFonts w:asciiTheme="majorHAnsi" w:hAnsiTheme="majorHAnsi" w:cstheme="majorHAnsi"/>
          <w:sz w:val="22"/>
          <w:szCs w:val="22"/>
        </w:rPr>
        <w:t xml:space="preserve">In order to improve the quality and obtainability of the necessary input data for future GHG accounts, </w:t>
      </w:r>
      <w:proofErr w:type="spellStart"/>
      <w:r w:rsidR="00D979B6" w:rsidRPr="00D979B6">
        <w:rPr>
          <w:rFonts w:asciiTheme="majorHAnsi" w:hAnsiTheme="majorHAnsi" w:cstheme="majorHAnsi"/>
          <w:sz w:val="22"/>
          <w:szCs w:val="22"/>
        </w:rPr>
        <w:t>ProCon</w:t>
      </w:r>
      <w:proofErr w:type="spellEnd"/>
      <w:r w:rsidR="00D979B6" w:rsidRPr="00D979B6">
        <w:rPr>
          <w:rFonts w:asciiTheme="majorHAnsi" w:hAnsiTheme="majorHAnsi" w:cstheme="majorHAnsi"/>
          <w:sz w:val="22"/>
          <w:szCs w:val="22"/>
        </w:rPr>
        <w:t xml:space="preserve"> is committed to improving its data registration systems over the coming years. </w:t>
      </w:r>
    </w:p>
    <w:p w14:paraId="25CC8C76" w14:textId="77777777" w:rsidR="00D979B6" w:rsidRPr="009F108B" w:rsidRDefault="00D979B6" w:rsidP="00D87335">
      <w:pPr>
        <w:spacing w:line="276" w:lineRule="auto"/>
        <w:jc w:val="both"/>
        <w:rPr>
          <w:rFonts w:asciiTheme="majorHAnsi" w:hAnsiTheme="majorHAnsi" w:cstheme="majorHAnsi"/>
          <w:color w:val="FF0000"/>
        </w:rPr>
      </w:pPr>
    </w:p>
    <w:p w14:paraId="78CD84AC" w14:textId="799B2BF8" w:rsidR="00DE21F7" w:rsidRPr="00DE21F7" w:rsidRDefault="00DE21F7" w:rsidP="00D87335">
      <w:pPr>
        <w:spacing w:line="276" w:lineRule="auto"/>
        <w:jc w:val="both"/>
        <w:rPr>
          <w:rFonts w:asciiTheme="majorHAnsi" w:hAnsiTheme="majorHAnsi" w:cstheme="majorHAnsi"/>
          <w:sz w:val="20"/>
          <w:szCs w:val="20"/>
        </w:rPr>
      </w:pPr>
      <w:proofErr w:type="spellStart"/>
      <w:r w:rsidRPr="009F108B">
        <w:rPr>
          <w:rFonts w:asciiTheme="majorHAnsi" w:hAnsiTheme="majorHAnsi" w:cstheme="majorHAnsi"/>
          <w:sz w:val="22"/>
          <w:szCs w:val="22"/>
        </w:rPr>
        <w:t>ProCons</w:t>
      </w:r>
      <w:proofErr w:type="spellEnd"/>
      <w:r w:rsidRPr="009F108B">
        <w:rPr>
          <w:rFonts w:asciiTheme="majorHAnsi" w:hAnsiTheme="majorHAnsi" w:cstheme="majorHAnsi"/>
          <w:sz w:val="22"/>
          <w:szCs w:val="22"/>
        </w:rPr>
        <w:t xml:space="preserve"> emission in relation to accommodation is a</w:t>
      </w:r>
      <w:r w:rsidRPr="009F108B">
        <w:rPr>
          <w:rFonts w:asciiTheme="majorHAnsi" w:hAnsiTheme="majorHAnsi" w:cstheme="majorHAnsi"/>
          <w:sz w:val="22"/>
          <w:szCs w:val="22"/>
        </w:rPr>
        <w:t>ssociated with</w:t>
      </w:r>
      <w:r w:rsidRPr="009F108B">
        <w:rPr>
          <w:rFonts w:asciiTheme="majorHAnsi" w:hAnsiTheme="majorHAnsi" w:cstheme="majorHAnsi"/>
          <w:sz w:val="22"/>
          <w:szCs w:val="22"/>
        </w:rPr>
        <w:t xml:space="preserve"> some uncertainty, since the </w:t>
      </w:r>
      <w:r w:rsidRPr="009F108B">
        <w:rPr>
          <w:rFonts w:asciiTheme="majorHAnsi" w:hAnsiTheme="majorHAnsi" w:cstheme="majorHAnsi"/>
          <w:sz w:val="22"/>
          <w:szCs w:val="22"/>
        </w:rPr>
        <w:t>Spend-based method</w:t>
      </w:r>
      <w:r w:rsidRPr="009F108B">
        <w:rPr>
          <w:rFonts w:asciiTheme="majorHAnsi" w:hAnsiTheme="majorHAnsi" w:cstheme="majorHAnsi"/>
          <w:sz w:val="22"/>
          <w:szCs w:val="22"/>
        </w:rPr>
        <w:t xml:space="preserve"> has been used. A more accurate emission would be obtained if it was possible</w:t>
      </w:r>
      <w:r w:rsidR="00700BDA" w:rsidRPr="009F108B">
        <w:rPr>
          <w:rFonts w:asciiTheme="majorHAnsi" w:hAnsiTheme="majorHAnsi" w:cstheme="majorHAnsi"/>
          <w:sz w:val="22"/>
          <w:szCs w:val="22"/>
        </w:rPr>
        <w:t xml:space="preserve"> to identify</w:t>
      </w:r>
      <w:r w:rsidRPr="009F108B">
        <w:rPr>
          <w:rFonts w:asciiTheme="majorHAnsi" w:hAnsiTheme="majorHAnsi" w:cstheme="majorHAnsi"/>
          <w:sz w:val="22"/>
          <w:szCs w:val="22"/>
        </w:rPr>
        <w:t xml:space="preserve"> emission factors for</w:t>
      </w:r>
      <w:r w:rsidR="00700BDA" w:rsidRPr="009F108B">
        <w:rPr>
          <w:rFonts w:asciiTheme="majorHAnsi" w:hAnsiTheme="majorHAnsi" w:cstheme="majorHAnsi"/>
          <w:sz w:val="22"/>
          <w:szCs w:val="22"/>
        </w:rPr>
        <w:t xml:space="preserve"> each </w:t>
      </w:r>
      <w:r w:rsidR="00700BDA" w:rsidRPr="009F108B">
        <w:rPr>
          <w:rFonts w:asciiTheme="majorHAnsi" w:hAnsiTheme="majorHAnsi" w:cstheme="majorHAnsi"/>
          <w:sz w:val="22"/>
          <w:szCs w:val="22"/>
        </w:rPr>
        <w:t>overnight stay</w:t>
      </w:r>
      <w:r w:rsidR="00700BDA" w:rsidRPr="009F108B">
        <w:rPr>
          <w:rFonts w:asciiTheme="majorHAnsi" w:hAnsiTheme="majorHAnsi" w:cstheme="majorHAnsi"/>
          <w:sz w:val="22"/>
          <w:szCs w:val="22"/>
        </w:rPr>
        <w:t xml:space="preserve"> in each country, </w:t>
      </w:r>
      <w:r w:rsidR="00700BDA" w:rsidRPr="009F108B">
        <w:rPr>
          <w:rFonts w:asciiTheme="majorHAnsi" w:hAnsiTheme="majorHAnsi" w:cstheme="majorHAnsi"/>
          <w:sz w:val="22"/>
          <w:szCs w:val="22"/>
        </w:rPr>
        <w:t>given that</w:t>
      </w:r>
      <w:r w:rsidR="00700BDA" w:rsidRPr="009F108B">
        <w:rPr>
          <w:rFonts w:asciiTheme="majorHAnsi" w:hAnsiTheme="majorHAnsi" w:cstheme="majorHAnsi"/>
          <w:sz w:val="22"/>
          <w:szCs w:val="22"/>
        </w:rPr>
        <w:t xml:space="preserve"> the emission from one </w:t>
      </w:r>
      <w:r w:rsidR="00700BDA" w:rsidRPr="009F108B">
        <w:rPr>
          <w:rFonts w:asciiTheme="majorHAnsi" w:hAnsiTheme="majorHAnsi" w:cstheme="majorHAnsi"/>
          <w:sz w:val="22"/>
          <w:szCs w:val="22"/>
        </w:rPr>
        <w:t>overnight stay</w:t>
      </w:r>
      <w:r w:rsidR="00700BDA" w:rsidRPr="009F108B">
        <w:rPr>
          <w:rFonts w:asciiTheme="majorHAnsi" w:hAnsiTheme="majorHAnsi" w:cstheme="majorHAnsi"/>
          <w:sz w:val="22"/>
          <w:szCs w:val="22"/>
        </w:rPr>
        <w:t xml:space="preserve"> differs </w:t>
      </w:r>
      <w:r w:rsidR="00700BDA" w:rsidRPr="009F108B">
        <w:rPr>
          <w:rFonts w:asciiTheme="majorHAnsi" w:hAnsiTheme="majorHAnsi" w:cstheme="majorHAnsi"/>
          <w:sz w:val="22"/>
          <w:szCs w:val="22"/>
        </w:rPr>
        <w:t>significant</w:t>
      </w:r>
      <w:r w:rsidR="00700BDA" w:rsidRPr="009F108B">
        <w:rPr>
          <w:rFonts w:asciiTheme="majorHAnsi" w:hAnsiTheme="majorHAnsi" w:cstheme="majorHAnsi"/>
          <w:sz w:val="22"/>
          <w:szCs w:val="22"/>
        </w:rPr>
        <w:t xml:space="preserve">ly from country to country. </w:t>
      </w:r>
      <w:r w:rsidR="009F108B" w:rsidRPr="009F108B">
        <w:rPr>
          <w:rFonts w:asciiTheme="majorHAnsi" w:hAnsiTheme="majorHAnsi" w:cstheme="majorHAnsi"/>
          <w:sz w:val="22"/>
          <w:szCs w:val="22"/>
        </w:rPr>
        <w:t>Unfortunately</w:t>
      </w:r>
      <w:r w:rsidR="00700BDA" w:rsidRPr="009F108B">
        <w:rPr>
          <w:rFonts w:asciiTheme="majorHAnsi" w:hAnsiTheme="majorHAnsi" w:cstheme="majorHAnsi"/>
          <w:sz w:val="22"/>
          <w:szCs w:val="22"/>
        </w:rPr>
        <w:t xml:space="preserve"> is has not been possible to identify </w:t>
      </w:r>
      <w:r w:rsidR="00700BDA" w:rsidRPr="009F108B">
        <w:rPr>
          <w:rFonts w:asciiTheme="majorHAnsi" w:hAnsiTheme="majorHAnsi" w:cstheme="majorHAnsi"/>
          <w:sz w:val="22"/>
          <w:szCs w:val="22"/>
        </w:rPr>
        <w:t>emission factors</w:t>
      </w:r>
      <w:r w:rsidR="00700BDA" w:rsidRPr="009F108B">
        <w:rPr>
          <w:rFonts w:asciiTheme="majorHAnsi" w:hAnsiTheme="majorHAnsi" w:cstheme="majorHAnsi"/>
          <w:sz w:val="22"/>
          <w:szCs w:val="22"/>
        </w:rPr>
        <w:t xml:space="preserve"> for each country that </w:t>
      </w:r>
      <w:proofErr w:type="spellStart"/>
      <w:r w:rsidR="00700BDA" w:rsidRPr="009F108B">
        <w:rPr>
          <w:rFonts w:asciiTheme="majorHAnsi" w:hAnsiTheme="majorHAnsi" w:cstheme="majorHAnsi"/>
          <w:sz w:val="22"/>
          <w:szCs w:val="22"/>
        </w:rPr>
        <w:t>ProCon</w:t>
      </w:r>
      <w:proofErr w:type="spellEnd"/>
      <w:r w:rsidR="00700BDA" w:rsidRPr="009F108B">
        <w:rPr>
          <w:rFonts w:asciiTheme="majorHAnsi" w:hAnsiTheme="majorHAnsi" w:cstheme="majorHAnsi"/>
          <w:sz w:val="22"/>
          <w:szCs w:val="22"/>
        </w:rPr>
        <w:t xml:space="preserve"> operates in and therefore the </w:t>
      </w:r>
      <w:r w:rsidR="00700BDA" w:rsidRPr="009F108B">
        <w:rPr>
          <w:rFonts w:asciiTheme="majorHAnsi" w:hAnsiTheme="majorHAnsi" w:cstheme="majorHAnsi"/>
          <w:sz w:val="22"/>
          <w:szCs w:val="22"/>
        </w:rPr>
        <w:t>Spend-based method has been used</w:t>
      </w:r>
      <w:r w:rsidR="00700BDA">
        <w:rPr>
          <w:rFonts w:asciiTheme="majorHAnsi" w:hAnsiTheme="majorHAnsi" w:cstheme="majorHAnsi"/>
          <w:sz w:val="20"/>
          <w:szCs w:val="20"/>
        </w:rPr>
        <w:t>.</w:t>
      </w:r>
    </w:p>
    <w:p w14:paraId="3E3BEDAD" w14:textId="77777777" w:rsidR="00135E9D" w:rsidRPr="004832B3" w:rsidRDefault="00135E9D" w:rsidP="00135E9D">
      <w:pPr>
        <w:spacing w:line="276" w:lineRule="auto"/>
        <w:jc w:val="both"/>
        <w:rPr>
          <w:rFonts w:asciiTheme="majorHAnsi" w:hAnsiTheme="majorHAnsi" w:cstheme="majorHAnsi"/>
          <w:color w:val="FF0000"/>
          <w:sz w:val="22"/>
          <w:szCs w:val="22"/>
        </w:rPr>
      </w:pPr>
    </w:p>
    <w:sectPr w:rsidR="00135E9D" w:rsidRPr="004832B3" w:rsidSect="00135E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D156C" w14:textId="77777777" w:rsidR="00F3420E" w:rsidRDefault="00F3420E" w:rsidP="001F135D">
      <w:r>
        <w:separator/>
      </w:r>
    </w:p>
  </w:endnote>
  <w:endnote w:type="continuationSeparator" w:id="0">
    <w:p w14:paraId="2E74116B" w14:textId="77777777" w:rsidR="00F3420E" w:rsidRDefault="00F3420E" w:rsidP="001F135D">
      <w:r>
        <w:continuationSeparator/>
      </w:r>
    </w:p>
  </w:endnote>
  <w:endnote w:type="continuationNotice" w:id="1">
    <w:p w14:paraId="1399308E" w14:textId="77777777" w:rsidR="00F3420E" w:rsidRDefault="00F34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6721" w14:textId="77777777" w:rsidR="00F3420E" w:rsidRDefault="00F3420E" w:rsidP="001F135D">
      <w:r>
        <w:separator/>
      </w:r>
    </w:p>
  </w:footnote>
  <w:footnote w:type="continuationSeparator" w:id="0">
    <w:p w14:paraId="6A11A18C" w14:textId="77777777" w:rsidR="00F3420E" w:rsidRDefault="00F3420E" w:rsidP="001F135D">
      <w:r>
        <w:continuationSeparator/>
      </w:r>
    </w:p>
  </w:footnote>
  <w:footnote w:type="continuationNotice" w:id="1">
    <w:p w14:paraId="67224BC0" w14:textId="77777777" w:rsidR="00F3420E" w:rsidRDefault="00F342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967"/>
    <w:multiLevelType w:val="hybridMultilevel"/>
    <w:tmpl w:val="403A4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FB3D80"/>
    <w:multiLevelType w:val="multilevel"/>
    <w:tmpl w:val="445C08A6"/>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A3C3537"/>
    <w:multiLevelType w:val="hybridMultilevel"/>
    <w:tmpl w:val="A6FCB9F0"/>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1306B68"/>
    <w:multiLevelType w:val="hybridMultilevel"/>
    <w:tmpl w:val="597A1B62"/>
    <w:lvl w:ilvl="0" w:tplc="F10E2A02">
      <w:start w:val="1"/>
      <w:numFmt w:val="bullet"/>
      <w:lvlText w:val="-"/>
      <w:lvlJc w:val="left"/>
      <w:pPr>
        <w:ind w:left="720" w:hanging="360"/>
      </w:pPr>
      <w:rPr>
        <w:rFonts w:ascii="Calibri Light" w:eastAsiaTheme="minorEastAsia" w:hAnsi="Calibri Light" w:cs="Calibri Light" w:hint="default"/>
      </w:rPr>
    </w:lvl>
    <w:lvl w:ilvl="1" w:tplc="04060005">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3E24775"/>
    <w:multiLevelType w:val="hybridMultilevel"/>
    <w:tmpl w:val="7DBC1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582E0D"/>
    <w:multiLevelType w:val="hybridMultilevel"/>
    <w:tmpl w:val="79C61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3133F"/>
    <w:multiLevelType w:val="hybridMultilevel"/>
    <w:tmpl w:val="B636BF62"/>
    <w:lvl w:ilvl="0" w:tplc="C950C12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3B6089"/>
    <w:multiLevelType w:val="hybridMultilevel"/>
    <w:tmpl w:val="82A0B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CA06DD"/>
    <w:multiLevelType w:val="hybridMultilevel"/>
    <w:tmpl w:val="7C6CD484"/>
    <w:lvl w:ilvl="0" w:tplc="04060001">
      <w:start w:val="1"/>
      <w:numFmt w:val="bullet"/>
      <w:lvlText w:val=""/>
      <w:lvlJc w:val="left"/>
      <w:pPr>
        <w:ind w:left="720" w:hanging="360"/>
      </w:pPr>
      <w:rPr>
        <w:rFonts w:ascii="Symbol" w:hAnsi="Symbol" w:hint="default"/>
      </w:rPr>
    </w:lvl>
    <w:lvl w:ilvl="1" w:tplc="04060005">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0344B51"/>
    <w:multiLevelType w:val="hybridMultilevel"/>
    <w:tmpl w:val="45C4C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8179A9"/>
    <w:multiLevelType w:val="hybridMultilevel"/>
    <w:tmpl w:val="05F6F0C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38227B6"/>
    <w:multiLevelType w:val="hybridMultilevel"/>
    <w:tmpl w:val="E804A164"/>
    <w:lvl w:ilvl="0" w:tplc="FFFFFFF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454F4"/>
    <w:multiLevelType w:val="hybridMultilevel"/>
    <w:tmpl w:val="0F488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5C14D3"/>
    <w:multiLevelType w:val="hybridMultilevel"/>
    <w:tmpl w:val="A72CE406"/>
    <w:lvl w:ilvl="0" w:tplc="26004078">
      <w:start w:val="1"/>
      <w:numFmt w:val="decimal"/>
      <w:lvlText w:val="%1."/>
      <w:lvlJc w:val="left"/>
      <w:pPr>
        <w:ind w:left="720" w:hanging="360"/>
      </w:pPr>
      <w:rPr>
        <w:rFonts w:cstheme="majorBidi" w:hint="default"/>
        <w:color w:val="2F5496" w:themeColor="accent1" w:themeShade="BF"/>
        <w:sz w:val="2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C1670DE"/>
    <w:multiLevelType w:val="hybridMultilevel"/>
    <w:tmpl w:val="6C70A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C47EB5"/>
    <w:multiLevelType w:val="hybridMultilevel"/>
    <w:tmpl w:val="0F488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6B410F"/>
    <w:multiLevelType w:val="hybridMultilevel"/>
    <w:tmpl w:val="A4061418"/>
    <w:lvl w:ilvl="0" w:tplc="04060001">
      <w:start w:val="1"/>
      <w:numFmt w:val="bullet"/>
      <w:lvlText w:val=""/>
      <w:lvlJc w:val="left"/>
      <w:pPr>
        <w:ind w:left="720" w:hanging="360"/>
      </w:pPr>
      <w:rPr>
        <w:rFonts w:ascii="Symbol" w:hAnsi="Symbol" w:hint="default"/>
      </w:rPr>
    </w:lvl>
    <w:lvl w:ilvl="1" w:tplc="0406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F6E247B"/>
    <w:multiLevelType w:val="hybridMultilevel"/>
    <w:tmpl w:val="8F3EAF82"/>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8" w15:restartNumberingAfterBreak="0">
    <w:nsid w:val="73927507"/>
    <w:multiLevelType w:val="hybridMultilevel"/>
    <w:tmpl w:val="C4BC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843486">
    <w:abstractNumId w:val="11"/>
  </w:num>
  <w:num w:numId="2" w16cid:durableId="2121222887">
    <w:abstractNumId w:val="6"/>
  </w:num>
  <w:num w:numId="3" w16cid:durableId="937830876">
    <w:abstractNumId w:val="7"/>
  </w:num>
  <w:num w:numId="4" w16cid:durableId="264508741">
    <w:abstractNumId w:val="4"/>
  </w:num>
  <w:num w:numId="5" w16cid:durableId="658581882">
    <w:abstractNumId w:val="0"/>
  </w:num>
  <w:num w:numId="6" w16cid:durableId="1971090272">
    <w:abstractNumId w:val="18"/>
  </w:num>
  <w:num w:numId="7" w16cid:durableId="2109304648">
    <w:abstractNumId w:val="14"/>
  </w:num>
  <w:num w:numId="8" w16cid:durableId="1608078514">
    <w:abstractNumId w:val="15"/>
  </w:num>
  <w:num w:numId="9" w16cid:durableId="762645260">
    <w:abstractNumId w:val="10"/>
  </w:num>
  <w:num w:numId="10" w16cid:durableId="1747191818">
    <w:abstractNumId w:val="12"/>
  </w:num>
  <w:num w:numId="11" w16cid:durableId="849566226">
    <w:abstractNumId w:val="1"/>
  </w:num>
  <w:num w:numId="12" w16cid:durableId="1875340959">
    <w:abstractNumId w:val="5"/>
  </w:num>
  <w:num w:numId="13" w16cid:durableId="397478758">
    <w:abstractNumId w:val="17"/>
  </w:num>
  <w:num w:numId="14" w16cid:durableId="1667513762">
    <w:abstractNumId w:val="9"/>
  </w:num>
  <w:num w:numId="15" w16cid:durableId="1560704608">
    <w:abstractNumId w:val="13"/>
  </w:num>
  <w:num w:numId="16" w16cid:durableId="297883769">
    <w:abstractNumId w:val="2"/>
  </w:num>
  <w:num w:numId="17" w16cid:durableId="1486042606">
    <w:abstractNumId w:val="8"/>
  </w:num>
  <w:num w:numId="18" w16cid:durableId="1122305110">
    <w:abstractNumId w:val="3"/>
  </w:num>
  <w:num w:numId="19" w16cid:durableId="5745551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72"/>
    <w:rsid w:val="000001C8"/>
    <w:rsid w:val="000002EE"/>
    <w:rsid w:val="000033B0"/>
    <w:rsid w:val="00013402"/>
    <w:rsid w:val="00015D87"/>
    <w:rsid w:val="000229D0"/>
    <w:rsid w:val="000258E9"/>
    <w:rsid w:val="0003092A"/>
    <w:rsid w:val="00033C32"/>
    <w:rsid w:val="0003466F"/>
    <w:rsid w:val="00034CD0"/>
    <w:rsid w:val="00035E77"/>
    <w:rsid w:val="00036423"/>
    <w:rsid w:val="000374E1"/>
    <w:rsid w:val="000437D5"/>
    <w:rsid w:val="00044ABA"/>
    <w:rsid w:val="0004588F"/>
    <w:rsid w:val="0004756A"/>
    <w:rsid w:val="00050816"/>
    <w:rsid w:val="000572D1"/>
    <w:rsid w:val="000605B0"/>
    <w:rsid w:val="00072046"/>
    <w:rsid w:val="00080CAF"/>
    <w:rsid w:val="00081375"/>
    <w:rsid w:val="000A3C56"/>
    <w:rsid w:val="000A62A5"/>
    <w:rsid w:val="000B0102"/>
    <w:rsid w:val="000B2E20"/>
    <w:rsid w:val="000C11CB"/>
    <w:rsid w:val="000C1837"/>
    <w:rsid w:val="000C4D0E"/>
    <w:rsid w:val="000D061C"/>
    <w:rsid w:val="000D15B2"/>
    <w:rsid w:val="000D17FB"/>
    <w:rsid w:val="000D5F95"/>
    <w:rsid w:val="000E3B6C"/>
    <w:rsid w:val="000E74A2"/>
    <w:rsid w:val="00101826"/>
    <w:rsid w:val="001075C5"/>
    <w:rsid w:val="001078B8"/>
    <w:rsid w:val="001301CE"/>
    <w:rsid w:val="001304CC"/>
    <w:rsid w:val="001316D5"/>
    <w:rsid w:val="00131B4D"/>
    <w:rsid w:val="0013273A"/>
    <w:rsid w:val="001336FD"/>
    <w:rsid w:val="00134E27"/>
    <w:rsid w:val="00135E9D"/>
    <w:rsid w:val="00137A56"/>
    <w:rsid w:val="0014146D"/>
    <w:rsid w:val="0014627D"/>
    <w:rsid w:val="00152BD6"/>
    <w:rsid w:val="00163CCA"/>
    <w:rsid w:val="00165FA8"/>
    <w:rsid w:val="00166322"/>
    <w:rsid w:val="00166571"/>
    <w:rsid w:val="00170BF8"/>
    <w:rsid w:val="0017276D"/>
    <w:rsid w:val="00181D7A"/>
    <w:rsid w:val="00192D67"/>
    <w:rsid w:val="001A146D"/>
    <w:rsid w:val="001A279A"/>
    <w:rsid w:val="001A5C3D"/>
    <w:rsid w:val="001A6135"/>
    <w:rsid w:val="001A76A9"/>
    <w:rsid w:val="001B06D4"/>
    <w:rsid w:val="001B6247"/>
    <w:rsid w:val="001B7BC2"/>
    <w:rsid w:val="001C1421"/>
    <w:rsid w:val="001C24F3"/>
    <w:rsid w:val="001C46C5"/>
    <w:rsid w:val="001C6425"/>
    <w:rsid w:val="001C6A0A"/>
    <w:rsid w:val="001C6E4B"/>
    <w:rsid w:val="001C79E0"/>
    <w:rsid w:val="001D23CB"/>
    <w:rsid w:val="001D2CD9"/>
    <w:rsid w:val="001D3837"/>
    <w:rsid w:val="001D4A2B"/>
    <w:rsid w:val="001E0558"/>
    <w:rsid w:val="001E4A47"/>
    <w:rsid w:val="001F0818"/>
    <w:rsid w:val="001F135D"/>
    <w:rsid w:val="00204974"/>
    <w:rsid w:val="0020709B"/>
    <w:rsid w:val="002071E2"/>
    <w:rsid w:val="00207CA6"/>
    <w:rsid w:val="002135B7"/>
    <w:rsid w:val="00215D3B"/>
    <w:rsid w:val="002171B5"/>
    <w:rsid w:val="00220B92"/>
    <w:rsid w:val="002220E8"/>
    <w:rsid w:val="00224AC6"/>
    <w:rsid w:val="00235C71"/>
    <w:rsid w:val="00235D27"/>
    <w:rsid w:val="00240D27"/>
    <w:rsid w:val="002432AC"/>
    <w:rsid w:val="002512A7"/>
    <w:rsid w:val="00251C76"/>
    <w:rsid w:val="002541D4"/>
    <w:rsid w:val="002549A6"/>
    <w:rsid w:val="00263F45"/>
    <w:rsid w:val="00270FBC"/>
    <w:rsid w:val="002756AC"/>
    <w:rsid w:val="002837E4"/>
    <w:rsid w:val="00284BE6"/>
    <w:rsid w:val="0028554D"/>
    <w:rsid w:val="00285DE6"/>
    <w:rsid w:val="002904DF"/>
    <w:rsid w:val="0029070A"/>
    <w:rsid w:val="00291F1B"/>
    <w:rsid w:val="00291FD7"/>
    <w:rsid w:val="00293DEB"/>
    <w:rsid w:val="0029534B"/>
    <w:rsid w:val="00296045"/>
    <w:rsid w:val="002A4D0F"/>
    <w:rsid w:val="002A5D2F"/>
    <w:rsid w:val="002B1E2B"/>
    <w:rsid w:val="002C265F"/>
    <w:rsid w:val="002C4A7E"/>
    <w:rsid w:val="002C6D59"/>
    <w:rsid w:val="002D2C6C"/>
    <w:rsid w:val="002D61D0"/>
    <w:rsid w:val="002E0C4C"/>
    <w:rsid w:val="002E0ED3"/>
    <w:rsid w:val="002E13FA"/>
    <w:rsid w:val="002E51C9"/>
    <w:rsid w:val="002F3054"/>
    <w:rsid w:val="002F4000"/>
    <w:rsid w:val="002F40E3"/>
    <w:rsid w:val="002F499D"/>
    <w:rsid w:val="002F5151"/>
    <w:rsid w:val="002F582C"/>
    <w:rsid w:val="002F7081"/>
    <w:rsid w:val="003033C6"/>
    <w:rsid w:val="003076C7"/>
    <w:rsid w:val="0031085E"/>
    <w:rsid w:val="00310D47"/>
    <w:rsid w:val="00313216"/>
    <w:rsid w:val="00313CAF"/>
    <w:rsid w:val="003156E0"/>
    <w:rsid w:val="00321186"/>
    <w:rsid w:val="00323E73"/>
    <w:rsid w:val="00324293"/>
    <w:rsid w:val="00330305"/>
    <w:rsid w:val="00330349"/>
    <w:rsid w:val="003307D8"/>
    <w:rsid w:val="003314E7"/>
    <w:rsid w:val="003315CD"/>
    <w:rsid w:val="0033203D"/>
    <w:rsid w:val="00332C9F"/>
    <w:rsid w:val="0034058A"/>
    <w:rsid w:val="00340B46"/>
    <w:rsid w:val="00341C08"/>
    <w:rsid w:val="00344901"/>
    <w:rsid w:val="00347047"/>
    <w:rsid w:val="0035025B"/>
    <w:rsid w:val="00355154"/>
    <w:rsid w:val="0035591D"/>
    <w:rsid w:val="00357B8D"/>
    <w:rsid w:val="003608ED"/>
    <w:rsid w:val="0036261E"/>
    <w:rsid w:val="003666CD"/>
    <w:rsid w:val="00370C10"/>
    <w:rsid w:val="00374D32"/>
    <w:rsid w:val="00376FCD"/>
    <w:rsid w:val="00380167"/>
    <w:rsid w:val="003910A8"/>
    <w:rsid w:val="00393597"/>
    <w:rsid w:val="003972AA"/>
    <w:rsid w:val="003A2AC6"/>
    <w:rsid w:val="003A309F"/>
    <w:rsid w:val="003A693B"/>
    <w:rsid w:val="003B01D8"/>
    <w:rsid w:val="003B09DE"/>
    <w:rsid w:val="003B1334"/>
    <w:rsid w:val="003B7076"/>
    <w:rsid w:val="003C3FCB"/>
    <w:rsid w:val="003C4E65"/>
    <w:rsid w:val="003D2632"/>
    <w:rsid w:val="003E07E9"/>
    <w:rsid w:val="003E1772"/>
    <w:rsid w:val="003E3F6B"/>
    <w:rsid w:val="003F63D2"/>
    <w:rsid w:val="004050DB"/>
    <w:rsid w:val="00405330"/>
    <w:rsid w:val="00407715"/>
    <w:rsid w:val="00413539"/>
    <w:rsid w:val="00415C25"/>
    <w:rsid w:val="004206E0"/>
    <w:rsid w:val="00422DCE"/>
    <w:rsid w:val="004241BA"/>
    <w:rsid w:val="00427F45"/>
    <w:rsid w:val="00431539"/>
    <w:rsid w:val="00436514"/>
    <w:rsid w:val="004413A2"/>
    <w:rsid w:val="00442429"/>
    <w:rsid w:val="00443879"/>
    <w:rsid w:val="00444159"/>
    <w:rsid w:val="00444493"/>
    <w:rsid w:val="004459CB"/>
    <w:rsid w:val="00446B85"/>
    <w:rsid w:val="00457088"/>
    <w:rsid w:val="00457584"/>
    <w:rsid w:val="0046001E"/>
    <w:rsid w:val="004654D2"/>
    <w:rsid w:val="00465664"/>
    <w:rsid w:val="00465959"/>
    <w:rsid w:val="00470575"/>
    <w:rsid w:val="00470905"/>
    <w:rsid w:val="00480DF8"/>
    <w:rsid w:val="004832B3"/>
    <w:rsid w:val="004872A8"/>
    <w:rsid w:val="004929CA"/>
    <w:rsid w:val="0049355A"/>
    <w:rsid w:val="00493E2C"/>
    <w:rsid w:val="00495E13"/>
    <w:rsid w:val="004976AA"/>
    <w:rsid w:val="004A1EA4"/>
    <w:rsid w:val="004A2B8F"/>
    <w:rsid w:val="004B3F63"/>
    <w:rsid w:val="004C0AE7"/>
    <w:rsid w:val="004C1870"/>
    <w:rsid w:val="004C3FF5"/>
    <w:rsid w:val="004C3FF7"/>
    <w:rsid w:val="004D1008"/>
    <w:rsid w:val="004D1232"/>
    <w:rsid w:val="004D21D0"/>
    <w:rsid w:val="004D2C65"/>
    <w:rsid w:val="004D7466"/>
    <w:rsid w:val="004E2B15"/>
    <w:rsid w:val="004E2B51"/>
    <w:rsid w:val="004E2B5C"/>
    <w:rsid w:val="004E2E7C"/>
    <w:rsid w:val="004E71AB"/>
    <w:rsid w:val="004F29C8"/>
    <w:rsid w:val="004F4146"/>
    <w:rsid w:val="004F6034"/>
    <w:rsid w:val="004F71B2"/>
    <w:rsid w:val="0050051D"/>
    <w:rsid w:val="00500CB1"/>
    <w:rsid w:val="005078A8"/>
    <w:rsid w:val="005101E6"/>
    <w:rsid w:val="00510472"/>
    <w:rsid w:val="00520773"/>
    <w:rsid w:val="00520A16"/>
    <w:rsid w:val="00520BB2"/>
    <w:rsid w:val="0052282B"/>
    <w:rsid w:val="00524527"/>
    <w:rsid w:val="0052474C"/>
    <w:rsid w:val="00526D5A"/>
    <w:rsid w:val="00533973"/>
    <w:rsid w:val="0053709C"/>
    <w:rsid w:val="00537F73"/>
    <w:rsid w:val="005412CF"/>
    <w:rsid w:val="0054235D"/>
    <w:rsid w:val="005452DB"/>
    <w:rsid w:val="0054690B"/>
    <w:rsid w:val="00556326"/>
    <w:rsid w:val="00556BDD"/>
    <w:rsid w:val="00556BE5"/>
    <w:rsid w:val="00560CDA"/>
    <w:rsid w:val="00561318"/>
    <w:rsid w:val="005647EC"/>
    <w:rsid w:val="00571017"/>
    <w:rsid w:val="0057176F"/>
    <w:rsid w:val="00576277"/>
    <w:rsid w:val="00580118"/>
    <w:rsid w:val="00580991"/>
    <w:rsid w:val="00586855"/>
    <w:rsid w:val="00591427"/>
    <w:rsid w:val="005950C8"/>
    <w:rsid w:val="005A6987"/>
    <w:rsid w:val="005A6A89"/>
    <w:rsid w:val="005B3783"/>
    <w:rsid w:val="005B64EC"/>
    <w:rsid w:val="005B6702"/>
    <w:rsid w:val="005B76D5"/>
    <w:rsid w:val="005C1186"/>
    <w:rsid w:val="005C213E"/>
    <w:rsid w:val="005C6843"/>
    <w:rsid w:val="005C7822"/>
    <w:rsid w:val="005D2717"/>
    <w:rsid w:val="005D6F05"/>
    <w:rsid w:val="005D712A"/>
    <w:rsid w:val="005E134B"/>
    <w:rsid w:val="005E4A1C"/>
    <w:rsid w:val="005E652D"/>
    <w:rsid w:val="005E7EB9"/>
    <w:rsid w:val="005F171F"/>
    <w:rsid w:val="006018E4"/>
    <w:rsid w:val="006110F3"/>
    <w:rsid w:val="00615DBF"/>
    <w:rsid w:val="00621A38"/>
    <w:rsid w:val="00626A12"/>
    <w:rsid w:val="006278BA"/>
    <w:rsid w:val="00633C4C"/>
    <w:rsid w:val="00634313"/>
    <w:rsid w:val="00635422"/>
    <w:rsid w:val="006367DD"/>
    <w:rsid w:val="00640557"/>
    <w:rsid w:val="00643522"/>
    <w:rsid w:val="00646294"/>
    <w:rsid w:val="00647FD2"/>
    <w:rsid w:val="00650FEC"/>
    <w:rsid w:val="006522FD"/>
    <w:rsid w:val="00663E65"/>
    <w:rsid w:val="006646D4"/>
    <w:rsid w:val="00665254"/>
    <w:rsid w:val="006735F0"/>
    <w:rsid w:val="0068320C"/>
    <w:rsid w:val="00683544"/>
    <w:rsid w:val="0068385A"/>
    <w:rsid w:val="00687E2C"/>
    <w:rsid w:val="00687FD6"/>
    <w:rsid w:val="006948CD"/>
    <w:rsid w:val="006971C5"/>
    <w:rsid w:val="006A1066"/>
    <w:rsid w:val="006A1112"/>
    <w:rsid w:val="006A27E2"/>
    <w:rsid w:val="006A49C7"/>
    <w:rsid w:val="006B3D72"/>
    <w:rsid w:val="006B42F2"/>
    <w:rsid w:val="006B5900"/>
    <w:rsid w:val="006C210A"/>
    <w:rsid w:val="006C28C2"/>
    <w:rsid w:val="006C3B08"/>
    <w:rsid w:val="006C4A62"/>
    <w:rsid w:val="006C4FCD"/>
    <w:rsid w:val="006D0CA9"/>
    <w:rsid w:val="006D2996"/>
    <w:rsid w:val="006D46F3"/>
    <w:rsid w:val="006D4E5D"/>
    <w:rsid w:val="006D60BD"/>
    <w:rsid w:val="006E3170"/>
    <w:rsid w:val="006F24B7"/>
    <w:rsid w:val="006F463E"/>
    <w:rsid w:val="00700BDA"/>
    <w:rsid w:val="0070408B"/>
    <w:rsid w:val="007040DE"/>
    <w:rsid w:val="007075B7"/>
    <w:rsid w:val="00707795"/>
    <w:rsid w:val="00713B1E"/>
    <w:rsid w:val="00720AE1"/>
    <w:rsid w:val="00731BCC"/>
    <w:rsid w:val="00734B22"/>
    <w:rsid w:val="00740CD9"/>
    <w:rsid w:val="00742598"/>
    <w:rsid w:val="00755FBA"/>
    <w:rsid w:val="00757A10"/>
    <w:rsid w:val="007617E0"/>
    <w:rsid w:val="00761CC3"/>
    <w:rsid w:val="007641FF"/>
    <w:rsid w:val="00772097"/>
    <w:rsid w:val="00775FB5"/>
    <w:rsid w:val="007766AE"/>
    <w:rsid w:val="0077705B"/>
    <w:rsid w:val="0078007D"/>
    <w:rsid w:val="00780265"/>
    <w:rsid w:val="0078353D"/>
    <w:rsid w:val="00785D85"/>
    <w:rsid w:val="00787066"/>
    <w:rsid w:val="00792B83"/>
    <w:rsid w:val="007939D7"/>
    <w:rsid w:val="0079506B"/>
    <w:rsid w:val="00796412"/>
    <w:rsid w:val="007A20EA"/>
    <w:rsid w:val="007A2D8E"/>
    <w:rsid w:val="007A37AB"/>
    <w:rsid w:val="007A58F2"/>
    <w:rsid w:val="007A7A16"/>
    <w:rsid w:val="007B108C"/>
    <w:rsid w:val="007B14BF"/>
    <w:rsid w:val="007B1D68"/>
    <w:rsid w:val="007C5C07"/>
    <w:rsid w:val="007D0318"/>
    <w:rsid w:val="007D1FD0"/>
    <w:rsid w:val="007D3BC2"/>
    <w:rsid w:val="007D4808"/>
    <w:rsid w:val="007D6DF6"/>
    <w:rsid w:val="007E79AE"/>
    <w:rsid w:val="007E7EE7"/>
    <w:rsid w:val="007F385B"/>
    <w:rsid w:val="007F43F1"/>
    <w:rsid w:val="007F5832"/>
    <w:rsid w:val="00801BAE"/>
    <w:rsid w:val="008066F3"/>
    <w:rsid w:val="00812E47"/>
    <w:rsid w:val="00814E4F"/>
    <w:rsid w:val="00815636"/>
    <w:rsid w:val="00826F0E"/>
    <w:rsid w:val="0083434D"/>
    <w:rsid w:val="00835371"/>
    <w:rsid w:val="00835606"/>
    <w:rsid w:val="00843D15"/>
    <w:rsid w:val="0084719B"/>
    <w:rsid w:val="00852FEC"/>
    <w:rsid w:val="0085485C"/>
    <w:rsid w:val="00856FFA"/>
    <w:rsid w:val="00862EEC"/>
    <w:rsid w:val="008654C2"/>
    <w:rsid w:val="00871DF0"/>
    <w:rsid w:val="00872BBF"/>
    <w:rsid w:val="00875A0F"/>
    <w:rsid w:val="00882308"/>
    <w:rsid w:val="00883EED"/>
    <w:rsid w:val="00891312"/>
    <w:rsid w:val="00891673"/>
    <w:rsid w:val="00891678"/>
    <w:rsid w:val="008917ED"/>
    <w:rsid w:val="00894F94"/>
    <w:rsid w:val="00897C6D"/>
    <w:rsid w:val="008A29FB"/>
    <w:rsid w:val="008B004D"/>
    <w:rsid w:val="008B3576"/>
    <w:rsid w:val="008B3AA2"/>
    <w:rsid w:val="008B4F5D"/>
    <w:rsid w:val="008B5B8A"/>
    <w:rsid w:val="008B5F75"/>
    <w:rsid w:val="008C5778"/>
    <w:rsid w:val="008E3D46"/>
    <w:rsid w:val="008F013B"/>
    <w:rsid w:val="008F4DB4"/>
    <w:rsid w:val="00902170"/>
    <w:rsid w:val="00904BFA"/>
    <w:rsid w:val="0092551D"/>
    <w:rsid w:val="00926D08"/>
    <w:rsid w:val="00931C89"/>
    <w:rsid w:val="00931D2D"/>
    <w:rsid w:val="00933DD3"/>
    <w:rsid w:val="00934804"/>
    <w:rsid w:val="00935706"/>
    <w:rsid w:val="00940C71"/>
    <w:rsid w:val="00942195"/>
    <w:rsid w:val="0094660D"/>
    <w:rsid w:val="009533AF"/>
    <w:rsid w:val="009536EC"/>
    <w:rsid w:val="009609A5"/>
    <w:rsid w:val="009675B8"/>
    <w:rsid w:val="009732C4"/>
    <w:rsid w:val="009734BE"/>
    <w:rsid w:val="009736E9"/>
    <w:rsid w:val="009821E3"/>
    <w:rsid w:val="00984D2F"/>
    <w:rsid w:val="009A0B86"/>
    <w:rsid w:val="009A1F9D"/>
    <w:rsid w:val="009A2E36"/>
    <w:rsid w:val="009A4215"/>
    <w:rsid w:val="009A6B7A"/>
    <w:rsid w:val="009B36CD"/>
    <w:rsid w:val="009B43FA"/>
    <w:rsid w:val="009B5A24"/>
    <w:rsid w:val="009B66CF"/>
    <w:rsid w:val="009C3B9F"/>
    <w:rsid w:val="009C4254"/>
    <w:rsid w:val="009C629C"/>
    <w:rsid w:val="009D1188"/>
    <w:rsid w:val="009D7F52"/>
    <w:rsid w:val="009E1F52"/>
    <w:rsid w:val="009E4558"/>
    <w:rsid w:val="009E5DCA"/>
    <w:rsid w:val="009E78C2"/>
    <w:rsid w:val="009F108B"/>
    <w:rsid w:val="009F3D41"/>
    <w:rsid w:val="009F3E75"/>
    <w:rsid w:val="00A02E10"/>
    <w:rsid w:val="00A07463"/>
    <w:rsid w:val="00A10A77"/>
    <w:rsid w:val="00A10F47"/>
    <w:rsid w:val="00A137DD"/>
    <w:rsid w:val="00A14410"/>
    <w:rsid w:val="00A179DB"/>
    <w:rsid w:val="00A2472B"/>
    <w:rsid w:val="00A32143"/>
    <w:rsid w:val="00A32B43"/>
    <w:rsid w:val="00A361DE"/>
    <w:rsid w:val="00A407A7"/>
    <w:rsid w:val="00A40BA8"/>
    <w:rsid w:val="00A43251"/>
    <w:rsid w:val="00A45233"/>
    <w:rsid w:val="00A4779A"/>
    <w:rsid w:val="00A47BBD"/>
    <w:rsid w:val="00A50C77"/>
    <w:rsid w:val="00A54538"/>
    <w:rsid w:val="00A60101"/>
    <w:rsid w:val="00A601B0"/>
    <w:rsid w:val="00A6309E"/>
    <w:rsid w:val="00A65D83"/>
    <w:rsid w:val="00A71F17"/>
    <w:rsid w:val="00A72897"/>
    <w:rsid w:val="00A73D01"/>
    <w:rsid w:val="00A744B5"/>
    <w:rsid w:val="00A75D3F"/>
    <w:rsid w:val="00A7718A"/>
    <w:rsid w:val="00A8536B"/>
    <w:rsid w:val="00A85486"/>
    <w:rsid w:val="00A91B6A"/>
    <w:rsid w:val="00A97171"/>
    <w:rsid w:val="00AA6A6F"/>
    <w:rsid w:val="00AB1A81"/>
    <w:rsid w:val="00AB44CA"/>
    <w:rsid w:val="00AB4FC7"/>
    <w:rsid w:val="00AB7401"/>
    <w:rsid w:val="00AC1F51"/>
    <w:rsid w:val="00AC53FA"/>
    <w:rsid w:val="00AD41C1"/>
    <w:rsid w:val="00AD7C4B"/>
    <w:rsid w:val="00AE0073"/>
    <w:rsid w:val="00AE0381"/>
    <w:rsid w:val="00AE1685"/>
    <w:rsid w:val="00AE177C"/>
    <w:rsid w:val="00AE3838"/>
    <w:rsid w:val="00AF11BB"/>
    <w:rsid w:val="00AF6283"/>
    <w:rsid w:val="00B01B30"/>
    <w:rsid w:val="00B074A7"/>
    <w:rsid w:val="00B11877"/>
    <w:rsid w:val="00B15E52"/>
    <w:rsid w:val="00B22DD7"/>
    <w:rsid w:val="00B30DAB"/>
    <w:rsid w:val="00B35C7C"/>
    <w:rsid w:val="00B43325"/>
    <w:rsid w:val="00B52DFD"/>
    <w:rsid w:val="00B62BAA"/>
    <w:rsid w:val="00B65C9A"/>
    <w:rsid w:val="00B73A57"/>
    <w:rsid w:val="00B75171"/>
    <w:rsid w:val="00B7525D"/>
    <w:rsid w:val="00B76921"/>
    <w:rsid w:val="00B7698A"/>
    <w:rsid w:val="00B84C08"/>
    <w:rsid w:val="00B85AC9"/>
    <w:rsid w:val="00B946A4"/>
    <w:rsid w:val="00BA0E00"/>
    <w:rsid w:val="00BA1E39"/>
    <w:rsid w:val="00BA428A"/>
    <w:rsid w:val="00BA6F0E"/>
    <w:rsid w:val="00BB0742"/>
    <w:rsid w:val="00BB44C1"/>
    <w:rsid w:val="00BC089B"/>
    <w:rsid w:val="00BC6418"/>
    <w:rsid w:val="00BC70FF"/>
    <w:rsid w:val="00BD2AAF"/>
    <w:rsid w:val="00BD74E5"/>
    <w:rsid w:val="00BE23EC"/>
    <w:rsid w:val="00BE389B"/>
    <w:rsid w:val="00BE5425"/>
    <w:rsid w:val="00BF558C"/>
    <w:rsid w:val="00C00C7D"/>
    <w:rsid w:val="00C06028"/>
    <w:rsid w:val="00C06CBA"/>
    <w:rsid w:val="00C11875"/>
    <w:rsid w:val="00C13292"/>
    <w:rsid w:val="00C2338C"/>
    <w:rsid w:val="00C24B5D"/>
    <w:rsid w:val="00C27F5A"/>
    <w:rsid w:val="00C30624"/>
    <w:rsid w:val="00C31835"/>
    <w:rsid w:val="00C34C2C"/>
    <w:rsid w:val="00C3557C"/>
    <w:rsid w:val="00C416E4"/>
    <w:rsid w:val="00C4785A"/>
    <w:rsid w:val="00C478BE"/>
    <w:rsid w:val="00C52CBC"/>
    <w:rsid w:val="00C53791"/>
    <w:rsid w:val="00C57C0F"/>
    <w:rsid w:val="00C62EF3"/>
    <w:rsid w:val="00C710F3"/>
    <w:rsid w:val="00C75268"/>
    <w:rsid w:val="00C815FC"/>
    <w:rsid w:val="00C85EB9"/>
    <w:rsid w:val="00C9013E"/>
    <w:rsid w:val="00C90244"/>
    <w:rsid w:val="00C97C93"/>
    <w:rsid w:val="00CA0442"/>
    <w:rsid w:val="00CA04E8"/>
    <w:rsid w:val="00CA3038"/>
    <w:rsid w:val="00CA3731"/>
    <w:rsid w:val="00CA406C"/>
    <w:rsid w:val="00CA6E2F"/>
    <w:rsid w:val="00CA7B9C"/>
    <w:rsid w:val="00CB1BC0"/>
    <w:rsid w:val="00CB2429"/>
    <w:rsid w:val="00CB67D9"/>
    <w:rsid w:val="00CC0537"/>
    <w:rsid w:val="00CC0E2B"/>
    <w:rsid w:val="00CC34C1"/>
    <w:rsid w:val="00CC5224"/>
    <w:rsid w:val="00CD24E9"/>
    <w:rsid w:val="00CD4E43"/>
    <w:rsid w:val="00CD62DD"/>
    <w:rsid w:val="00CD670E"/>
    <w:rsid w:val="00CD7629"/>
    <w:rsid w:val="00CE060D"/>
    <w:rsid w:val="00CE372B"/>
    <w:rsid w:val="00CE4D24"/>
    <w:rsid w:val="00CE5984"/>
    <w:rsid w:val="00CF4872"/>
    <w:rsid w:val="00CF73E0"/>
    <w:rsid w:val="00D10534"/>
    <w:rsid w:val="00D12C59"/>
    <w:rsid w:val="00D130ED"/>
    <w:rsid w:val="00D25B5B"/>
    <w:rsid w:val="00D27021"/>
    <w:rsid w:val="00D35B9C"/>
    <w:rsid w:val="00D36735"/>
    <w:rsid w:val="00D36C1B"/>
    <w:rsid w:val="00D37623"/>
    <w:rsid w:val="00D4498F"/>
    <w:rsid w:val="00D5569A"/>
    <w:rsid w:val="00D6241E"/>
    <w:rsid w:val="00D626E5"/>
    <w:rsid w:val="00D64C2B"/>
    <w:rsid w:val="00D67E7F"/>
    <w:rsid w:val="00D7249C"/>
    <w:rsid w:val="00D72CB0"/>
    <w:rsid w:val="00D747EC"/>
    <w:rsid w:val="00D75118"/>
    <w:rsid w:val="00D810B2"/>
    <w:rsid w:val="00D82B33"/>
    <w:rsid w:val="00D85493"/>
    <w:rsid w:val="00D86085"/>
    <w:rsid w:val="00D87335"/>
    <w:rsid w:val="00D9015A"/>
    <w:rsid w:val="00D90F1C"/>
    <w:rsid w:val="00D93F43"/>
    <w:rsid w:val="00D979B6"/>
    <w:rsid w:val="00DA00E4"/>
    <w:rsid w:val="00DA1B47"/>
    <w:rsid w:val="00DA24B6"/>
    <w:rsid w:val="00DA514A"/>
    <w:rsid w:val="00DA621F"/>
    <w:rsid w:val="00DA6F79"/>
    <w:rsid w:val="00DB1882"/>
    <w:rsid w:val="00DB1D06"/>
    <w:rsid w:val="00DB31EA"/>
    <w:rsid w:val="00DB6B1C"/>
    <w:rsid w:val="00DB6B51"/>
    <w:rsid w:val="00DB7560"/>
    <w:rsid w:val="00DC3D6C"/>
    <w:rsid w:val="00DC411E"/>
    <w:rsid w:val="00DC4359"/>
    <w:rsid w:val="00DC712F"/>
    <w:rsid w:val="00DD071C"/>
    <w:rsid w:val="00DD3F54"/>
    <w:rsid w:val="00DD6F58"/>
    <w:rsid w:val="00DE21F7"/>
    <w:rsid w:val="00DE2F17"/>
    <w:rsid w:val="00DF528F"/>
    <w:rsid w:val="00E0333E"/>
    <w:rsid w:val="00E0656F"/>
    <w:rsid w:val="00E15648"/>
    <w:rsid w:val="00E201CF"/>
    <w:rsid w:val="00E2769F"/>
    <w:rsid w:val="00E34344"/>
    <w:rsid w:val="00E346A0"/>
    <w:rsid w:val="00E35800"/>
    <w:rsid w:val="00E43D18"/>
    <w:rsid w:val="00E45F86"/>
    <w:rsid w:val="00E56C78"/>
    <w:rsid w:val="00E7115D"/>
    <w:rsid w:val="00E75893"/>
    <w:rsid w:val="00E75BEA"/>
    <w:rsid w:val="00E80D34"/>
    <w:rsid w:val="00E80E72"/>
    <w:rsid w:val="00E859FD"/>
    <w:rsid w:val="00E93AC6"/>
    <w:rsid w:val="00E94154"/>
    <w:rsid w:val="00E941F2"/>
    <w:rsid w:val="00E96984"/>
    <w:rsid w:val="00E97A66"/>
    <w:rsid w:val="00EA4B56"/>
    <w:rsid w:val="00EA7C1C"/>
    <w:rsid w:val="00EB0E9F"/>
    <w:rsid w:val="00EB2F0D"/>
    <w:rsid w:val="00EC3D9C"/>
    <w:rsid w:val="00EC4263"/>
    <w:rsid w:val="00EC4F44"/>
    <w:rsid w:val="00ED265D"/>
    <w:rsid w:val="00ED753D"/>
    <w:rsid w:val="00EE0030"/>
    <w:rsid w:val="00EE32B2"/>
    <w:rsid w:val="00EE7945"/>
    <w:rsid w:val="00EE7E22"/>
    <w:rsid w:val="00EF240C"/>
    <w:rsid w:val="00EF6B20"/>
    <w:rsid w:val="00F0290C"/>
    <w:rsid w:val="00F043CA"/>
    <w:rsid w:val="00F05169"/>
    <w:rsid w:val="00F055AE"/>
    <w:rsid w:val="00F1686A"/>
    <w:rsid w:val="00F16D6A"/>
    <w:rsid w:val="00F222FB"/>
    <w:rsid w:val="00F22A95"/>
    <w:rsid w:val="00F23DFD"/>
    <w:rsid w:val="00F259C4"/>
    <w:rsid w:val="00F3420E"/>
    <w:rsid w:val="00F342E4"/>
    <w:rsid w:val="00F400D6"/>
    <w:rsid w:val="00F41858"/>
    <w:rsid w:val="00F41CBF"/>
    <w:rsid w:val="00F54839"/>
    <w:rsid w:val="00F635F8"/>
    <w:rsid w:val="00F665AC"/>
    <w:rsid w:val="00F84D22"/>
    <w:rsid w:val="00F84E37"/>
    <w:rsid w:val="00F85417"/>
    <w:rsid w:val="00F86082"/>
    <w:rsid w:val="00F87692"/>
    <w:rsid w:val="00F927BC"/>
    <w:rsid w:val="00F965E0"/>
    <w:rsid w:val="00F97905"/>
    <w:rsid w:val="00FA371F"/>
    <w:rsid w:val="00FB1EFF"/>
    <w:rsid w:val="00FB2D88"/>
    <w:rsid w:val="00FB5CBA"/>
    <w:rsid w:val="00FB5FFB"/>
    <w:rsid w:val="00FC3EE2"/>
    <w:rsid w:val="00FD0AD8"/>
    <w:rsid w:val="00FD39F6"/>
    <w:rsid w:val="00FE2D0D"/>
    <w:rsid w:val="00FE35E6"/>
    <w:rsid w:val="00FE5372"/>
    <w:rsid w:val="00FE7287"/>
    <w:rsid w:val="00FE768D"/>
    <w:rsid w:val="00FF0660"/>
    <w:rsid w:val="00FF144C"/>
    <w:rsid w:val="00FF1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B2E3"/>
  <w15:chartTrackingRefBased/>
  <w15:docId w15:val="{EE1F3F43-5D92-4FDA-A380-9D800E87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4F3"/>
    <w:rPr>
      <w:rFonts w:eastAsiaTheme="minorEastAsia"/>
    </w:rPr>
  </w:style>
  <w:style w:type="paragraph" w:styleId="Heading1">
    <w:name w:val="heading 1"/>
    <w:basedOn w:val="Normal"/>
    <w:next w:val="Normal"/>
    <w:link w:val="Heading1Char"/>
    <w:uiPriority w:val="9"/>
    <w:qFormat/>
    <w:rsid w:val="009C425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425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46C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720A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F135D"/>
    <w:pPr>
      <w:tabs>
        <w:tab w:val="center" w:pos="4513"/>
        <w:tab w:val="right" w:pos="9026"/>
      </w:tabs>
    </w:pPr>
  </w:style>
  <w:style w:type="character" w:customStyle="1" w:styleId="HeaderChar">
    <w:name w:val="Header Char"/>
    <w:basedOn w:val="DefaultParagraphFont"/>
    <w:link w:val="Header"/>
    <w:uiPriority w:val="99"/>
    <w:rsid w:val="001F135D"/>
  </w:style>
  <w:style w:type="paragraph" w:styleId="Footer">
    <w:name w:val="footer"/>
    <w:basedOn w:val="Normal"/>
    <w:link w:val="FooterChar"/>
    <w:uiPriority w:val="99"/>
    <w:unhideWhenUsed/>
    <w:rsid w:val="001F135D"/>
    <w:pPr>
      <w:tabs>
        <w:tab w:val="center" w:pos="4513"/>
        <w:tab w:val="right" w:pos="9026"/>
      </w:tabs>
    </w:pPr>
  </w:style>
  <w:style w:type="character" w:customStyle="1" w:styleId="FooterChar">
    <w:name w:val="Footer Char"/>
    <w:basedOn w:val="DefaultParagraphFont"/>
    <w:link w:val="Footer"/>
    <w:uiPriority w:val="99"/>
    <w:rsid w:val="001F135D"/>
  </w:style>
  <w:style w:type="character" w:styleId="PageNumber">
    <w:name w:val="page number"/>
    <w:basedOn w:val="DefaultParagraphFont"/>
    <w:uiPriority w:val="99"/>
    <w:semiHidden/>
    <w:unhideWhenUsed/>
    <w:rsid w:val="009E1F52"/>
  </w:style>
  <w:style w:type="paragraph" w:styleId="ListParagraph">
    <w:name w:val="List Paragraph"/>
    <w:basedOn w:val="Normal"/>
    <w:uiPriority w:val="34"/>
    <w:qFormat/>
    <w:rsid w:val="002E0C4C"/>
    <w:pPr>
      <w:ind w:left="720"/>
      <w:contextualSpacing/>
    </w:pPr>
  </w:style>
  <w:style w:type="character" w:styleId="Hyperlink">
    <w:name w:val="Hyperlink"/>
    <w:basedOn w:val="DefaultParagraphFont"/>
    <w:uiPriority w:val="99"/>
    <w:unhideWhenUsed/>
    <w:rsid w:val="00891312"/>
    <w:rPr>
      <w:color w:val="0563C1" w:themeColor="hyperlink"/>
      <w:u w:val="single"/>
    </w:rPr>
  </w:style>
  <w:style w:type="character" w:customStyle="1" w:styleId="Heading1Char">
    <w:name w:val="Heading 1 Char"/>
    <w:basedOn w:val="DefaultParagraphFont"/>
    <w:link w:val="Heading1"/>
    <w:uiPriority w:val="9"/>
    <w:rsid w:val="009C42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C42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C46C5"/>
    <w:rPr>
      <w:rFonts w:asciiTheme="majorHAnsi" w:eastAsiaTheme="majorEastAsia" w:hAnsiTheme="majorHAnsi" w:cstheme="majorBidi"/>
      <w:color w:val="1F3763" w:themeColor="accent1" w:themeShade="7F"/>
    </w:rPr>
  </w:style>
  <w:style w:type="table" w:styleId="PlainTable5">
    <w:name w:val="Plain Table 5"/>
    <w:basedOn w:val="TableNormal"/>
    <w:uiPriority w:val="45"/>
    <w:rsid w:val="007A58F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7A58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3C4E65"/>
    <w:pPr>
      <w:spacing w:after="200"/>
    </w:pPr>
    <w:rPr>
      <w:i/>
      <w:iCs/>
      <w:color w:val="44546A" w:themeColor="text2"/>
      <w:sz w:val="18"/>
      <w:szCs w:val="18"/>
    </w:rPr>
  </w:style>
  <w:style w:type="paragraph" w:styleId="Title">
    <w:name w:val="Title"/>
    <w:basedOn w:val="Normal"/>
    <w:next w:val="Normal"/>
    <w:link w:val="TitleChar"/>
    <w:uiPriority w:val="10"/>
    <w:qFormat/>
    <w:rsid w:val="00526D5A"/>
    <w:pPr>
      <w:contextualSpacing/>
    </w:pPr>
    <w:rPr>
      <w:rFonts w:asciiTheme="majorHAnsi" w:eastAsiaTheme="majorEastAsia" w:hAnsiTheme="majorHAnsi" w:cstheme="majorBidi"/>
      <w:spacing w:val="-10"/>
      <w:kern w:val="28"/>
      <w:sz w:val="56"/>
      <w:szCs w:val="56"/>
      <w:lang w:val="da-DK"/>
    </w:rPr>
  </w:style>
  <w:style w:type="character" w:customStyle="1" w:styleId="TitleChar">
    <w:name w:val="Title Char"/>
    <w:basedOn w:val="DefaultParagraphFont"/>
    <w:link w:val="Title"/>
    <w:uiPriority w:val="10"/>
    <w:rsid w:val="00526D5A"/>
    <w:rPr>
      <w:rFonts w:asciiTheme="majorHAnsi" w:eastAsiaTheme="majorEastAsia" w:hAnsiTheme="majorHAnsi" w:cstheme="majorBidi"/>
      <w:spacing w:val="-10"/>
      <w:kern w:val="28"/>
      <w:sz w:val="56"/>
      <w:szCs w:val="56"/>
      <w:lang w:val="da-DK"/>
    </w:rPr>
  </w:style>
  <w:style w:type="table" w:styleId="ListTable3-Accent1">
    <w:name w:val="List Table 3 Accent 1"/>
    <w:basedOn w:val="TableNormal"/>
    <w:uiPriority w:val="48"/>
    <w:rsid w:val="00526D5A"/>
    <w:rPr>
      <w:sz w:val="22"/>
      <w:szCs w:val="22"/>
      <w:lang w:val="da-DK"/>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
    <w:name w:val="List Table 3"/>
    <w:basedOn w:val="TableNormal"/>
    <w:uiPriority w:val="48"/>
    <w:rsid w:val="0003092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basedOn w:val="Normal"/>
    <w:link w:val="FootnoteTextChar"/>
    <w:uiPriority w:val="99"/>
    <w:semiHidden/>
    <w:unhideWhenUsed/>
    <w:rsid w:val="002C4A7E"/>
    <w:rPr>
      <w:sz w:val="20"/>
      <w:szCs w:val="20"/>
    </w:rPr>
  </w:style>
  <w:style w:type="character" w:customStyle="1" w:styleId="FootnoteTextChar">
    <w:name w:val="Footnote Text Char"/>
    <w:basedOn w:val="DefaultParagraphFont"/>
    <w:link w:val="FootnoteText"/>
    <w:uiPriority w:val="99"/>
    <w:semiHidden/>
    <w:rsid w:val="002C4A7E"/>
    <w:rPr>
      <w:rFonts w:eastAsiaTheme="minorEastAsia"/>
      <w:sz w:val="20"/>
      <w:szCs w:val="20"/>
    </w:rPr>
  </w:style>
  <w:style w:type="character" w:styleId="FootnoteReference">
    <w:name w:val="footnote reference"/>
    <w:basedOn w:val="DefaultParagraphFont"/>
    <w:uiPriority w:val="99"/>
    <w:semiHidden/>
    <w:unhideWhenUsed/>
    <w:rsid w:val="002C4A7E"/>
    <w:rPr>
      <w:vertAlign w:val="superscript"/>
    </w:rPr>
  </w:style>
  <w:style w:type="character" w:styleId="UnresolvedMention">
    <w:name w:val="Unresolved Mention"/>
    <w:basedOn w:val="DefaultParagraphFont"/>
    <w:uiPriority w:val="99"/>
    <w:semiHidden/>
    <w:unhideWhenUsed/>
    <w:rsid w:val="00E94154"/>
    <w:rPr>
      <w:color w:val="605E5C"/>
      <w:shd w:val="clear" w:color="auto" w:fill="E1DFDD"/>
    </w:rPr>
  </w:style>
  <w:style w:type="paragraph" w:styleId="NormalWeb">
    <w:name w:val="Normal (Web)"/>
    <w:basedOn w:val="Normal"/>
    <w:uiPriority w:val="99"/>
    <w:semiHidden/>
    <w:unhideWhenUsed/>
    <w:rsid w:val="00407715"/>
    <w:pPr>
      <w:spacing w:before="100" w:beforeAutospacing="1" w:after="100" w:afterAutospacing="1"/>
    </w:pPr>
    <w:rPr>
      <w:rFonts w:ascii="Times New Roman" w:eastAsia="Times New Roman" w:hAnsi="Times New Roman" w:cs="Times New Roman"/>
      <w:lang w:val="en-DK" w:eastAsia="en-DK"/>
    </w:rPr>
  </w:style>
  <w:style w:type="paragraph" w:styleId="HTMLPreformatted">
    <w:name w:val="HTML Preformatted"/>
    <w:basedOn w:val="Normal"/>
    <w:link w:val="HTMLPreformattedChar"/>
    <w:uiPriority w:val="99"/>
    <w:semiHidden/>
    <w:unhideWhenUsed/>
    <w:rsid w:val="009F3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DK" w:eastAsia="en-DK"/>
    </w:rPr>
  </w:style>
  <w:style w:type="character" w:customStyle="1" w:styleId="HTMLPreformattedChar">
    <w:name w:val="HTML Preformatted Char"/>
    <w:basedOn w:val="DefaultParagraphFont"/>
    <w:link w:val="HTMLPreformatted"/>
    <w:uiPriority w:val="99"/>
    <w:semiHidden/>
    <w:rsid w:val="009F3E75"/>
    <w:rPr>
      <w:rFonts w:ascii="Courier New" w:eastAsia="Times New Roman" w:hAnsi="Courier New" w:cs="Courier New"/>
      <w:sz w:val="20"/>
      <w:szCs w:val="20"/>
      <w:lang w:val="en-DK" w:eastAsia="en-DK"/>
    </w:rPr>
  </w:style>
  <w:style w:type="character" w:customStyle="1" w:styleId="y2iqfc">
    <w:name w:val="y2iqfc"/>
    <w:basedOn w:val="DefaultParagraphFont"/>
    <w:rsid w:val="009F3E75"/>
  </w:style>
  <w:style w:type="paragraph" w:styleId="TOCHeading">
    <w:name w:val="TOC Heading"/>
    <w:basedOn w:val="Heading1"/>
    <w:next w:val="Normal"/>
    <w:uiPriority w:val="39"/>
    <w:unhideWhenUsed/>
    <w:qFormat/>
    <w:rsid w:val="0057176F"/>
    <w:pPr>
      <w:spacing w:line="259" w:lineRule="auto"/>
      <w:outlineLvl w:val="9"/>
    </w:pPr>
  </w:style>
  <w:style w:type="paragraph" w:styleId="TOC1">
    <w:name w:val="toc 1"/>
    <w:basedOn w:val="Normal"/>
    <w:next w:val="Normal"/>
    <w:autoRedefine/>
    <w:uiPriority w:val="39"/>
    <w:unhideWhenUsed/>
    <w:rsid w:val="0057176F"/>
    <w:pPr>
      <w:spacing w:after="100"/>
    </w:pPr>
  </w:style>
  <w:style w:type="paragraph" w:styleId="TOC2">
    <w:name w:val="toc 2"/>
    <w:basedOn w:val="Normal"/>
    <w:next w:val="Normal"/>
    <w:autoRedefine/>
    <w:uiPriority w:val="39"/>
    <w:unhideWhenUsed/>
    <w:rsid w:val="0057176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6566">
      <w:bodyDiv w:val="1"/>
      <w:marLeft w:val="0"/>
      <w:marRight w:val="0"/>
      <w:marTop w:val="0"/>
      <w:marBottom w:val="0"/>
      <w:divBdr>
        <w:top w:val="none" w:sz="0" w:space="0" w:color="auto"/>
        <w:left w:val="none" w:sz="0" w:space="0" w:color="auto"/>
        <w:bottom w:val="none" w:sz="0" w:space="0" w:color="auto"/>
        <w:right w:val="none" w:sz="0" w:space="0" w:color="auto"/>
      </w:divBdr>
    </w:div>
    <w:div w:id="192504670">
      <w:bodyDiv w:val="1"/>
      <w:marLeft w:val="0"/>
      <w:marRight w:val="0"/>
      <w:marTop w:val="0"/>
      <w:marBottom w:val="0"/>
      <w:divBdr>
        <w:top w:val="none" w:sz="0" w:space="0" w:color="auto"/>
        <w:left w:val="none" w:sz="0" w:space="0" w:color="auto"/>
        <w:bottom w:val="none" w:sz="0" w:space="0" w:color="auto"/>
        <w:right w:val="none" w:sz="0" w:space="0" w:color="auto"/>
      </w:divBdr>
    </w:div>
    <w:div w:id="276642616">
      <w:bodyDiv w:val="1"/>
      <w:marLeft w:val="0"/>
      <w:marRight w:val="0"/>
      <w:marTop w:val="0"/>
      <w:marBottom w:val="0"/>
      <w:divBdr>
        <w:top w:val="none" w:sz="0" w:space="0" w:color="auto"/>
        <w:left w:val="none" w:sz="0" w:space="0" w:color="auto"/>
        <w:bottom w:val="none" w:sz="0" w:space="0" w:color="auto"/>
        <w:right w:val="none" w:sz="0" w:space="0" w:color="auto"/>
      </w:divBdr>
    </w:div>
    <w:div w:id="323819798">
      <w:bodyDiv w:val="1"/>
      <w:marLeft w:val="0"/>
      <w:marRight w:val="0"/>
      <w:marTop w:val="0"/>
      <w:marBottom w:val="0"/>
      <w:divBdr>
        <w:top w:val="none" w:sz="0" w:space="0" w:color="auto"/>
        <w:left w:val="none" w:sz="0" w:space="0" w:color="auto"/>
        <w:bottom w:val="none" w:sz="0" w:space="0" w:color="auto"/>
        <w:right w:val="none" w:sz="0" w:space="0" w:color="auto"/>
      </w:divBdr>
      <w:divsChild>
        <w:div w:id="1419861746">
          <w:marLeft w:val="0"/>
          <w:marRight w:val="0"/>
          <w:marTop w:val="0"/>
          <w:marBottom w:val="0"/>
          <w:divBdr>
            <w:top w:val="none" w:sz="0" w:space="0" w:color="auto"/>
            <w:left w:val="single" w:sz="6" w:space="0" w:color="auto"/>
            <w:bottom w:val="none" w:sz="0" w:space="0" w:color="auto"/>
            <w:right w:val="none" w:sz="0" w:space="0" w:color="auto"/>
          </w:divBdr>
          <w:divsChild>
            <w:div w:id="382102000">
              <w:marLeft w:val="0"/>
              <w:marRight w:val="0"/>
              <w:marTop w:val="0"/>
              <w:marBottom w:val="0"/>
              <w:divBdr>
                <w:top w:val="none" w:sz="0" w:space="0" w:color="auto"/>
                <w:left w:val="none" w:sz="0" w:space="0" w:color="auto"/>
                <w:bottom w:val="none" w:sz="0" w:space="0" w:color="auto"/>
                <w:right w:val="none" w:sz="0" w:space="0" w:color="auto"/>
              </w:divBdr>
              <w:divsChild>
                <w:div w:id="1284112671">
                  <w:marLeft w:val="0"/>
                  <w:marRight w:val="0"/>
                  <w:marTop w:val="0"/>
                  <w:marBottom w:val="0"/>
                  <w:divBdr>
                    <w:top w:val="none" w:sz="0" w:space="0" w:color="auto"/>
                    <w:left w:val="none" w:sz="0" w:space="0" w:color="auto"/>
                    <w:bottom w:val="none" w:sz="0" w:space="0" w:color="auto"/>
                    <w:right w:val="none" w:sz="0" w:space="0" w:color="auto"/>
                  </w:divBdr>
                  <w:divsChild>
                    <w:div w:id="672417662">
                      <w:marLeft w:val="0"/>
                      <w:marRight w:val="0"/>
                      <w:marTop w:val="0"/>
                      <w:marBottom w:val="0"/>
                      <w:divBdr>
                        <w:top w:val="none" w:sz="0" w:space="0" w:color="auto"/>
                        <w:left w:val="none" w:sz="0" w:space="0" w:color="auto"/>
                        <w:bottom w:val="none" w:sz="0" w:space="0" w:color="auto"/>
                        <w:right w:val="none" w:sz="0" w:space="0" w:color="auto"/>
                      </w:divBdr>
                      <w:divsChild>
                        <w:div w:id="1334531266">
                          <w:marLeft w:val="0"/>
                          <w:marRight w:val="0"/>
                          <w:marTop w:val="0"/>
                          <w:marBottom w:val="0"/>
                          <w:divBdr>
                            <w:top w:val="none" w:sz="0" w:space="0" w:color="auto"/>
                            <w:left w:val="none" w:sz="0" w:space="0" w:color="auto"/>
                            <w:bottom w:val="none" w:sz="0" w:space="0" w:color="auto"/>
                            <w:right w:val="none" w:sz="0" w:space="0" w:color="auto"/>
                          </w:divBdr>
                          <w:divsChild>
                            <w:div w:id="18627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468739">
      <w:bodyDiv w:val="1"/>
      <w:marLeft w:val="0"/>
      <w:marRight w:val="0"/>
      <w:marTop w:val="0"/>
      <w:marBottom w:val="0"/>
      <w:divBdr>
        <w:top w:val="none" w:sz="0" w:space="0" w:color="auto"/>
        <w:left w:val="none" w:sz="0" w:space="0" w:color="auto"/>
        <w:bottom w:val="none" w:sz="0" w:space="0" w:color="auto"/>
        <w:right w:val="none" w:sz="0" w:space="0" w:color="auto"/>
      </w:divBdr>
    </w:div>
    <w:div w:id="447742176">
      <w:bodyDiv w:val="1"/>
      <w:marLeft w:val="0"/>
      <w:marRight w:val="0"/>
      <w:marTop w:val="0"/>
      <w:marBottom w:val="0"/>
      <w:divBdr>
        <w:top w:val="none" w:sz="0" w:space="0" w:color="auto"/>
        <w:left w:val="none" w:sz="0" w:space="0" w:color="auto"/>
        <w:bottom w:val="none" w:sz="0" w:space="0" w:color="auto"/>
        <w:right w:val="none" w:sz="0" w:space="0" w:color="auto"/>
      </w:divBdr>
    </w:div>
    <w:div w:id="453331795">
      <w:bodyDiv w:val="1"/>
      <w:marLeft w:val="0"/>
      <w:marRight w:val="0"/>
      <w:marTop w:val="0"/>
      <w:marBottom w:val="0"/>
      <w:divBdr>
        <w:top w:val="none" w:sz="0" w:space="0" w:color="auto"/>
        <w:left w:val="none" w:sz="0" w:space="0" w:color="auto"/>
        <w:bottom w:val="none" w:sz="0" w:space="0" w:color="auto"/>
        <w:right w:val="none" w:sz="0" w:space="0" w:color="auto"/>
      </w:divBdr>
    </w:div>
    <w:div w:id="486701766">
      <w:bodyDiv w:val="1"/>
      <w:marLeft w:val="0"/>
      <w:marRight w:val="0"/>
      <w:marTop w:val="0"/>
      <w:marBottom w:val="0"/>
      <w:divBdr>
        <w:top w:val="none" w:sz="0" w:space="0" w:color="auto"/>
        <w:left w:val="none" w:sz="0" w:space="0" w:color="auto"/>
        <w:bottom w:val="none" w:sz="0" w:space="0" w:color="auto"/>
        <w:right w:val="none" w:sz="0" w:space="0" w:color="auto"/>
      </w:divBdr>
    </w:div>
    <w:div w:id="504324287">
      <w:bodyDiv w:val="1"/>
      <w:marLeft w:val="0"/>
      <w:marRight w:val="0"/>
      <w:marTop w:val="0"/>
      <w:marBottom w:val="0"/>
      <w:divBdr>
        <w:top w:val="none" w:sz="0" w:space="0" w:color="auto"/>
        <w:left w:val="none" w:sz="0" w:space="0" w:color="auto"/>
        <w:bottom w:val="none" w:sz="0" w:space="0" w:color="auto"/>
        <w:right w:val="none" w:sz="0" w:space="0" w:color="auto"/>
      </w:divBdr>
    </w:div>
    <w:div w:id="530917407">
      <w:bodyDiv w:val="1"/>
      <w:marLeft w:val="0"/>
      <w:marRight w:val="0"/>
      <w:marTop w:val="0"/>
      <w:marBottom w:val="0"/>
      <w:divBdr>
        <w:top w:val="none" w:sz="0" w:space="0" w:color="auto"/>
        <w:left w:val="none" w:sz="0" w:space="0" w:color="auto"/>
        <w:bottom w:val="none" w:sz="0" w:space="0" w:color="auto"/>
        <w:right w:val="none" w:sz="0" w:space="0" w:color="auto"/>
      </w:divBdr>
    </w:div>
    <w:div w:id="588735259">
      <w:bodyDiv w:val="1"/>
      <w:marLeft w:val="0"/>
      <w:marRight w:val="0"/>
      <w:marTop w:val="0"/>
      <w:marBottom w:val="0"/>
      <w:divBdr>
        <w:top w:val="none" w:sz="0" w:space="0" w:color="auto"/>
        <w:left w:val="none" w:sz="0" w:space="0" w:color="auto"/>
        <w:bottom w:val="none" w:sz="0" w:space="0" w:color="auto"/>
        <w:right w:val="none" w:sz="0" w:space="0" w:color="auto"/>
      </w:divBdr>
      <w:divsChild>
        <w:div w:id="1537155442">
          <w:marLeft w:val="0"/>
          <w:marRight w:val="0"/>
          <w:marTop w:val="0"/>
          <w:marBottom w:val="0"/>
          <w:divBdr>
            <w:top w:val="none" w:sz="0" w:space="0" w:color="auto"/>
            <w:left w:val="none" w:sz="0" w:space="0" w:color="auto"/>
            <w:bottom w:val="none" w:sz="0" w:space="0" w:color="auto"/>
            <w:right w:val="none" w:sz="0" w:space="0" w:color="auto"/>
          </w:divBdr>
          <w:divsChild>
            <w:div w:id="690256894">
              <w:marLeft w:val="0"/>
              <w:marRight w:val="0"/>
              <w:marTop w:val="0"/>
              <w:marBottom w:val="0"/>
              <w:divBdr>
                <w:top w:val="none" w:sz="0" w:space="0" w:color="auto"/>
                <w:left w:val="none" w:sz="0" w:space="0" w:color="auto"/>
                <w:bottom w:val="none" w:sz="0" w:space="0" w:color="auto"/>
                <w:right w:val="none" w:sz="0" w:space="0" w:color="auto"/>
              </w:divBdr>
              <w:divsChild>
                <w:div w:id="9249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23891">
      <w:bodyDiv w:val="1"/>
      <w:marLeft w:val="0"/>
      <w:marRight w:val="0"/>
      <w:marTop w:val="0"/>
      <w:marBottom w:val="0"/>
      <w:divBdr>
        <w:top w:val="none" w:sz="0" w:space="0" w:color="auto"/>
        <w:left w:val="none" w:sz="0" w:space="0" w:color="auto"/>
        <w:bottom w:val="none" w:sz="0" w:space="0" w:color="auto"/>
        <w:right w:val="none" w:sz="0" w:space="0" w:color="auto"/>
      </w:divBdr>
    </w:div>
    <w:div w:id="928275087">
      <w:bodyDiv w:val="1"/>
      <w:marLeft w:val="0"/>
      <w:marRight w:val="0"/>
      <w:marTop w:val="0"/>
      <w:marBottom w:val="0"/>
      <w:divBdr>
        <w:top w:val="none" w:sz="0" w:space="0" w:color="auto"/>
        <w:left w:val="none" w:sz="0" w:space="0" w:color="auto"/>
        <w:bottom w:val="none" w:sz="0" w:space="0" w:color="auto"/>
        <w:right w:val="none" w:sz="0" w:space="0" w:color="auto"/>
      </w:divBdr>
    </w:div>
    <w:div w:id="969163001">
      <w:bodyDiv w:val="1"/>
      <w:marLeft w:val="0"/>
      <w:marRight w:val="0"/>
      <w:marTop w:val="0"/>
      <w:marBottom w:val="0"/>
      <w:divBdr>
        <w:top w:val="none" w:sz="0" w:space="0" w:color="auto"/>
        <w:left w:val="none" w:sz="0" w:space="0" w:color="auto"/>
        <w:bottom w:val="none" w:sz="0" w:space="0" w:color="auto"/>
        <w:right w:val="none" w:sz="0" w:space="0" w:color="auto"/>
      </w:divBdr>
    </w:div>
    <w:div w:id="1091391508">
      <w:bodyDiv w:val="1"/>
      <w:marLeft w:val="0"/>
      <w:marRight w:val="0"/>
      <w:marTop w:val="0"/>
      <w:marBottom w:val="0"/>
      <w:divBdr>
        <w:top w:val="none" w:sz="0" w:space="0" w:color="auto"/>
        <w:left w:val="none" w:sz="0" w:space="0" w:color="auto"/>
        <w:bottom w:val="none" w:sz="0" w:space="0" w:color="auto"/>
        <w:right w:val="none" w:sz="0" w:space="0" w:color="auto"/>
      </w:divBdr>
    </w:div>
    <w:div w:id="1102452183">
      <w:bodyDiv w:val="1"/>
      <w:marLeft w:val="0"/>
      <w:marRight w:val="0"/>
      <w:marTop w:val="0"/>
      <w:marBottom w:val="0"/>
      <w:divBdr>
        <w:top w:val="none" w:sz="0" w:space="0" w:color="auto"/>
        <w:left w:val="none" w:sz="0" w:space="0" w:color="auto"/>
        <w:bottom w:val="none" w:sz="0" w:space="0" w:color="auto"/>
        <w:right w:val="none" w:sz="0" w:space="0" w:color="auto"/>
      </w:divBdr>
    </w:div>
    <w:div w:id="1403217510">
      <w:bodyDiv w:val="1"/>
      <w:marLeft w:val="0"/>
      <w:marRight w:val="0"/>
      <w:marTop w:val="0"/>
      <w:marBottom w:val="0"/>
      <w:divBdr>
        <w:top w:val="none" w:sz="0" w:space="0" w:color="auto"/>
        <w:left w:val="none" w:sz="0" w:space="0" w:color="auto"/>
        <w:bottom w:val="none" w:sz="0" w:space="0" w:color="auto"/>
        <w:right w:val="none" w:sz="0" w:space="0" w:color="auto"/>
      </w:divBdr>
      <w:divsChild>
        <w:div w:id="1222794425">
          <w:marLeft w:val="0"/>
          <w:marRight w:val="0"/>
          <w:marTop w:val="0"/>
          <w:marBottom w:val="0"/>
          <w:divBdr>
            <w:top w:val="none" w:sz="0" w:space="0" w:color="auto"/>
            <w:left w:val="none" w:sz="0" w:space="0" w:color="auto"/>
            <w:bottom w:val="none" w:sz="0" w:space="0" w:color="auto"/>
            <w:right w:val="none" w:sz="0" w:space="0" w:color="auto"/>
          </w:divBdr>
          <w:divsChild>
            <w:div w:id="1343556530">
              <w:marLeft w:val="0"/>
              <w:marRight w:val="0"/>
              <w:marTop w:val="0"/>
              <w:marBottom w:val="0"/>
              <w:divBdr>
                <w:top w:val="none" w:sz="0" w:space="0" w:color="auto"/>
                <w:left w:val="none" w:sz="0" w:space="0" w:color="auto"/>
                <w:bottom w:val="none" w:sz="0" w:space="0" w:color="auto"/>
                <w:right w:val="none" w:sz="0" w:space="0" w:color="auto"/>
              </w:divBdr>
              <w:divsChild>
                <w:div w:id="10151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4224">
      <w:bodyDiv w:val="1"/>
      <w:marLeft w:val="0"/>
      <w:marRight w:val="0"/>
      <w:marTop w:val="0"/>
      <w:marBottom w:val="0"/>
      <w:divBdr>
        <w:top w:val="none" w:sz="0" w:space="0" w:color="auto"/>
        <w:left w:val="none" w:sz="0" w:space="0" w:color="auto"/>
        <w:bottom w:val="none" w:sz="0" w:space="0" w:color="auto"/>
        <w:right w:val="none" w:sz="0" w:space="0" w:color="auto"/>
      </w:divBdr>
    </w:div>
    <w:div w:id="1498956640">
      <w:bodyDiv w:val="1"/>
      <w:marLeft w:val="0"/>
      <w:marRight w:val="0"/>
      <w:marTop w:val="0"/>
      <w:marBottom w:val="0"/>
      <w:divBdr>
        <w:top w:val="none" w:sz="0" w:space="0" w:color="auto"/>
        <w:left w:val="none" w:sz="0" w:space="0" w:color="auto"/>
        <w:bottom w:val="none" w:sz="0" w:space="0" w:color="auto"/>
        <w:right w:val="none" w:sz="0" w:space="0" w:color="auto"/>
      </w:divBdr>
    </w:div>
    <w:div w:id="1677734721">
      <w:bodyDiv w:val="1"/>
      <w:marLeft w:val="0"/>
      <w:marRight w:val="0"/>
      <w:marTop w:val="0"/>
      <w:marBottom w:val="0"/>
      <w:divBdr>
        <w:top w:val="none" w:sz="0" w:space="0" w:color="auto"/>
        <w:left w:val="none" w:sz="0" w:space="0" w:color="auto"/>
        <w:bottom w:val="none" w:sz="0" w:space="0" w:color="auto"/>
        <w:right w:val="none" w:sz="0" w:space="0" w:color="auto"/>
      </w:divBdr>
      <w:divsChild>
        <w:div w:id="1629504950">
          <w:marLeft w:val="0"/>
          <w:marRight w:val="0"/>
          <w:marTop w:val="0"/>
          <w:marBottom w:val="0"/>
          <w:divBdr>
            <w:top w:val="none" w:sz="0" w:space="0" w:color="auto"/>
            <w:left w:val="single" w:sz="6" w:space="0" w:color="auto"/>
            <w:bottom w:val="none" w:sz="0" w:space="0" w:color="auto"/>
            <w:right w:val="none" w:sz="0" w:space="0" w:color="auto"/>
          </w:divBdr>
          <w:divsChild>
            <w:div w:id="657998428">
              <w:marLeft w:val="0"/>
              <w:marRight w:val="0"/>
              <w:marTop w:val="0"/>
              <w:marBottom w:val="0"/>
              <w:divBdr>
                <w:top w:val="none" w:sz="0" w:space="0" w:color="auto"/>
                <w:left w:val="none" w:sz="0" w:space="0" w:color="auto"/>
                <w:bottom w:val="none" w:sz="0" w:space="0" w:color="auto"/>
                <w:right w:val="none" w:sz="0" w:space="0" w:color="auto"/>
              </w:divBdr>
              <w:divsChild>
                <w:div w:id="830751189">
                  <w:marLeft w:val="0"/>
                  <w:marRight w:val="0"/>
                  <w:marTop w:val="0"/>
                  <w:marBottom w:val="0"/>
                  <w:divBdr>
                    <w:top w:val="none" w:sz="0" w:space="0" w:color="auto"/>
                    <w:left w:val="none" w:sz="0" w:space="0" w:color="auto"/>
                    <w:bottom w:val="none" w:sz="0" w:space="0" w:color="auto"/>
                    <w:right w:val="none" w:sz="0" w:space="0" w:color="auto"/>
                  </w:divBdr>
                  <w:divsChild>
                    <w:div w:id="470485774">
                      <w:marLeft w:val="0"/>
                      <w:marRight w:val="0"/>
                      <w:marTop w:val="0"/>
                      <w:marBottom w:val="0"/>
                      <w:divBdr>
                        <w:top w:val="none" w:sz="0" w:space="0" w:color="auto"/>
                        <w:left w:val="none" w:sz="0" w:space="0" w:color="auto"/>
                        <w:bottom w:val="none" w:sz="0" w:space="0" w:color="auto"/>
                        <w:right w:val="none" w:sz="0" w:space="0" w:color="auto"/>
                      </w:divBdr>
                      <w:divsChild>
                        <w:div w:id="1687636598">
                          <w:marLeft w:val="0"/>
                          <w:marRight w:val="0"/>
                          <w:marTop w:val="0"/>
                          <w:marBottom w:val="0"/>
                          <w:divBdr>
                            <w:top w:val="none" w:sz="0" w:space="0" w:color="auto"/>
                            <w:left w:val="none" w:sz="0" w:space="0" w:color="auto"/>
                            <w:bottom w:val="none" w:sz="0" w:space="0" w:color="auto"/>
                            <w:right w:val="none" w:sz="0" w:space="0" w:color="auto"/>
                          </w:divBdr>
                          <w:divsChild>
                            <w:div w:id="4302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80804">
      <w:bodyDiv w:val="1"/>
      <w:marLeft w:val="0"/>
      <w:marRight w:val="0"/>
      <w:marTop w:val="0"/>
      <w:marBottom w:val="0"/>
      <w:divBdr>
        <w:top w:val="none" w:sz="0" w:space="0" w:color="auto"/>
        <w:left w:val="none" w:sz="0" w:space="0" w:color="auto"/>
        <w:bottom w:val="none" w:sz="0" w:space="0" w:color="auto"/>
        <w:right w:val="none" w:sz="0" w:space="0" w:color="auto"/>
      </w:divBdr>
    </w:div>
    <w:div w:id="1992640255">
      <w:bodyDiv w:val="1"/>
      <w:marLeft w:val="0"/>
      <w:marRight w:val="0"/>
      <w:marTop w:val="0"/>
      <w:marBottom w:val="0"/>
      <w:divBdr>
        <w:top w:val="none" w:sz="0" w:space="0" w:color="auto"/>
        <w:left w:val="none" w:sz="0" w:space="0" w:color="auto"/>
        <w:bottom w:val="none" w:sz="0" w:space="0" w:color="auto"/>
        <w:right w:val="none" w:sz="0" w:space="0" w:color="auto"/>
      </w:divBdr>
    </w:div>
    <w:div w:id="2002614702">
      <w:bodyDiv w:val="1"/>
      <w:marLeft w:val="0"/>
      <w:marRight w:val="0"/>
      <w:marTop w:val="0"/>
      <w:marBottom w:val="0"/>
      <w:divBdr>
        <w:top w:val="none" w:sz="0" w:space="0" w:color="auto"/>
        <w:left w:val="none" w:sz="0" w:space="0" w:color="auto"/>
        <w:bottom w:val="none" w:sz="0" w:space="0" w:color="auto"/>
        <w:right w:val="none" w:sz="0" w:space="0" w:color="auto"/>
      </w:divBdr>
    </w:div>
    <w:div w:id="205029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59fa91-f61f-456d-89c7-02017958cd1b" xsi:nil="true"/>
    <lcf76f155ced4ddcb4097134ff3c332f xmlns="3ab0c4ca-e1f5-44fa-93ac-3272e3761e5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F987C3E6246641878704EA950695BD" ma:contentTypeVersion="20" ma:contentTypeDescription="Create a new document." ma:contentTypeScope="" ma:versionID="97b1394be449f5901f8b1f0110d03ef6">
  <xsd:schema xmlns:xsd="http://www.w3.org/2001/XMLSchema" xmlns:xs="http://www.w3.org/2001/XMLSchema" xmlns:p="http://schemas.microsoft.com/office/2006/metadata/properties" xmlns:ns2="3ab0c4ca-e1f5-44fa-93ac-3272e3761e55" xmlns:ns3="4759fa91-f61f-456d-89c7-02017958cd1b" targetNamespace="http://schemas.microsoft.com/office/2006/metadata/properties" ma:root="true" ma:fieldsID="7c3be75315e0a5b771458d85012e437b" ns2:_="" ns3:_="">
    <xsd:import namespace="3ab0c4ca-e1f5-44fa-93ac-3272e3761e55"/>
    <xsd:import namespace="4759fa91-f61f-456d-89c7-02017958c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0c4ca-e1f5-44fa-93ac-3272e3761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15b7cc-c922-4c44-bfea-086f84d690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59fa91-f61f-456d-89c7-02017958cd1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9fe2d29-3ac8-4217-a1b5-a421041db15f}" ma:internalName="TaxCatchAll" ma:showField="CatchAllData" ma:web="4759fa91-f61f-456d-89c7-02017958cd1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66688-5088-494A-A997-EA6C243F1EE6}">
  <ds:schemaRefs>
    <ds:schemaRef ds:uri="http://schemas.openxmlformats.org/officeDocument/2006/bibliography"/>
  </ds:schemaRefs>
</ds:datastoreItem>
</file>

<file path=customXml/itemProps2.xml><?xml version="1.0" encoding="utf-8"?>
<ds:datastoreItem xmlns:ds="http://schemas.openxmlformats.org/officeDocument/2006/customXml" ds:itemID="{DFB04316-5820-4077-93EF-25CFDFAC1349}">
  <ds:schemaRefs>
    <ds:schemaRef ds:uri="http://schemas.microsoft.com/sharepoint/v3/contenttype/forms"/>
  </ds:schemaRefs>
</ds:datastoreItem>
</file>

<file path=customXml/itemProps3.xml><?xml version="1.0" encoding="utf-8"?>
<ds:datastoreItem xmlns:ds="http://schemas.openxmlformats.org/officeDocument/2006/customXml" ds:itemID="{5C37B6D4-A785-45BD-B5E9-FC6CDFB84DB2}">
  <ds:schemaRefs>
    <ds:schemaRef ds:uri="http://schemas.microsoft.com/office/2006/metadata/properties"/>
    <ds:schemaRef ds:uri="http://schemas.microsoft.com/office/infopath/2007/PartnerControls"/>
    <ds:schemaRef ds:uri="4759fa91-f61f-456d-89c7-02017958cd1b"/>
    <ds:schemaRef ds:uri="3ab0c4ca-e1f5-44fa-93ac-3272e3761e55"/>
  </ds:schemaRefs>
</ds:datastoreItem>
</file>

<file path=customXml/itemProps4.xml><?xml version="1.0" encoding="utf-8"?>
<ds:datastoreItem xmlns:ds="http://schemas.openxmlformats.org/officeDocument/2006/customXml" ds:itemID="{37593EA3-D94B-4CB5-968B-2BAB683F9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0c4ca-e1f5-44fa-93ac-3272e3761e55"/>
    <ds:schemaRef ds:uri="4759fa91-f61f-456d-89c7-02017958c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7224</TotalTime>
  <Pages>5</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Links>
    <vt:vector size="6" baseType="variant">
      <vt:variant>
        <vt:i4>262229</vt:i4>
      </vt:variant>
      <vt:variant>
        <vt:i4>6</vt:i4>
      </vt:variant>
      <vt:variant>
        <vt:i4>0</vt:i4>
      </vt:variant>
      <vt:variant>
        <vt:i4>5</vt:i4>
      </vt:variant>
      <vt:variant>
        <vt:lpwstr>http://www.klimakompasset.dk/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Vodsgaard</dc:creator>
  <cp:keywords/>
  <dc:description/>
  <cp:lastModifiedBy>Camilla Kaasing Trolle</cp:lastModifiedBy>
  <cp:revision>668</cp:revision>
  <dcterms:created xsi:type="dcterms:W3CDTF">2023-03-09T00:19:00Z</dcterms:created>
  <dcterms:modified xsi:type="dcterms:W3CDTF">2024-04-17T11:37:00Z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0x010100F2F987C3E6246641878704EA950695BD</vt:lpwstr>
  </property>
  <property fmtid="{D5CDD505-2E9C-101B-9397-08002B2CF9AE}" pid="3" name="MediaServiceImageTags">
    <vt:lpwstr/>
  </property>
</Properties>
</file>